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b/>
          <w:bCs/>
          <w:sz w:val="28"/>
          <w:szCs w:val="28"/>
        </w:rPr>
      </w:pPr>
      <w:r>
        <w:rPr>
          <w:b/>
          <w:bCs/>
          <w:sz w:val="28"/>
          <w:szCs w:val="28"/>
        </w:rPr>
      </w:r>
    </w:p>
    <w:p>
      <w:pPr>
        <w:pStyle w:val="Normal"/>
        <w:jc w:val="center"/>
        <w:rPr>
          <w:b/>
          <w:bCs/>
          <w:sz w:val="28"/>
          <w:szCs w:val="28"/>
        </w:rPr>
      </w:pPr>
      <w:r>
        <w:rPr>
          <w:b/>
          <w:bCs/>
          <w:sz w:val="28"/>
          <w:szCs w:val="28"/>
        </w:rPr>
      </w:r>
    </w:p>
    <w:p>
      <w:pPr>
        <w:pStyle w:val="Normal"/>
        <w:jc w:val="center"/>
        <w:rPr>
          <w:b/>
          <w:bCs/>
          <w:sz w:val="28"/>
          <w:szCs w:val="28"/>
        </w:rPr>
      </w:pPr>
      <w:r>
        <w:rPr>
          <w:b/>
          <w:bCs/>
          <w:sz w:val="28"/>
          <w:szCs w:val="28"/>
        </w:rPr>
      </w:r>
    </w:p>
    <w:p>
      <w:pPr>
        <w:pStyle w:val="Normal"/>
        <w:jc w:val="center"/>
        <w:rPr>
          <w:b/>
          <w:bCs/>
          <w:sz w:val="28"/>
          <w:szCs w:val="28"/>
        </w:rPr>
      </w:pPr>
      <w:r>
        <w:rPr>
          <w:b/>
          <w:bCs/>
          <w:sz w:val="28"/>
          <w:szCs w:val="28"/>
        </w:rPr>
      </w:r>
    </w:p>
    <w:p>
      <w:pPr>
        <w:pStyle w:val="Normal"/>
        <w:jc w:val="center"/>
        <w:rPr>
          <w:b/>
          <w:bCs/>
          <w:sz w:val="28"/>
          <w:szCs w:val="28"/>
        </w:rPr>
      </w:pPr>
      <w:r>
        <w:rPr>
          <w:b/>
          <w:bCs/>
          <w:sz w:val="28"/>
          <w:szCs w:val="28"/>
        </w:rPr>
      </w:r>
    </w:p>
    <w:p>
      <w:pPr>
        <w:pStyle w:val="Normal"/>
        <w:jc w:val="center"/>
        <w:rPr>
          <w:b/>
          <w:bCs/>
          <w:sz w:val="28"/>
          <w:szCs w:val="28"/>
        </w:rPr>
      </w:pPr>
      <w:r>
        <w:rPr>
          <w:b/>
          <w:bCs/>
          <w:sz w:val="28"/>
          <w:szCs w:val="28"/>
        </w:rPr>
      </w:r>
    </w:p>
    <w:p>
      <w:pPr>
        <w:pStyle w:val="Normal"/>
        <w:jc w:val="center"/>
        <w:rPr>
          <w:sz w:val="28"/>
          <w:szCs w:val="28"/>
        </w:rPr>
      </w:pPr>
      <w:r>
        <w:rPr>
          <w:b/>
          <w:bCs/>
          <w:sz w:val="28"/>
          <w:szCs w:val="28"/>
        </w:rPr>
        <w:t>ДОКЛАД</w:t>
      </w:r>
    </w:p>
    <w:p>
      <w:pPr>
        <w:pStyle w:val="Normal"/>
        <w:jc w:val="center"/>
        <w:rPr>
          <w:b/>
          <w:bCs/>
          <w:sz w:val="28"/>
          <w:szCs w:val="28"/>
        </w:rPr>
      </w:pPr>
      <w:r>
        <w:rPr>
          <w:b/>
          <w:bCs/>
          <w:sz w:val="28"/>
          <w:szCs w:val="28"/>
        </w:rPr>
        <w:t xml:space="preserve">Главы муниципального образования «Демидовский муниципальный округ» Смоленской области Николаева Сергея Владимировича о достигнутых значениях показателей для оценки эффективности деятельности муниципального образования «Демидовский округ» </w:t>
      </w:r>
    </w:p>
    <w:p>
      <w:pPr>
        <w:pStyle w:val="Normal"/>
        <w:jc w:val="center"/>
        <w:rPr>
          <w:b/>
          <w:bCs/>
          <w:sz w:val="28"/>
          <w:szCs w:val="28"/>
        </w:rPr>
      </w:pPr>
      <w:r>
        <w:rPr>
          <w:b/>
          <w:bCs/>
          <w:sz w:val="28"/>
          <w:szCs w:val="28"/>
        </w:rPr>
        <w:t>Смоленской области за 2025 год и их планируемых значениях</w:t>
      </w:r>
    </w:p>
    <w:p>
      <w:pPr>
        <w:pStyle w:val="Normal"/>
        <w:jc w:val="center"/>
        <w:rPr>
          <w:sz w:val="28"/>
          <w:szCs w:val="28"/>
        </w:rPr>
      </w:pPr>
      <w:r>
        <w:rPr>
          <w:b/>
          <w:bCs/>
          <w:sz w:val="28"/>
          <w:szCs w:val="28"/>
        </w:rPr>
        <w:t xml:space="preserve"> </w:t>
      </w:r>
      <w:r>
        <w:rPr>
          <w:b/>
          <w:bCs/>
          <w:sz w:val="28"/>
          <w:szCs w:val="28"/>
        </w:rPr>
        <w:t>на 3-х летний период.</w:t>
      </w:r>
    </w:p>
    <w:p>
      <w:pPr>
        <w:pStyle w:val="Normal"/>
        <w:tabs>
          <w:tab w:val="clear" w:pos="708"/>
          <w:tab w:val="center" w:pos="4819" w:leader="none"/>
          <w:tab w:val="right" w:pos="9638" w:leader="none"/>
        </w:tabs>
        <w:jc w:val="center"/>
        <w:rPr>
          <w:sz w:val="32"/>
          <w:szCs w:val="32"/>
        </w:rPr>
      </w:pPr>
      <w:r>
        <w:rPr>
          <w:sz w:val="32"/>
          <w:szCs w:val="32"/>
        </w:rPr>
      </w:r>
    </w:p>
    <w:p>
      <w:pPr>
        <w:pStyle w:val="Normal"/>
        <w:jc w:val="center"/>
        <w:rPr>
          <w:sz w:val="32"/>
          <w:szCs w:val="32"/>
        </w:rPr>
      </w:pPr>
      <w:r>
        <w:rPr>
          <w:sz w:val="32"/>
          <w:szCs w:val="32"/>
        </w:rPr>
        <w:t>«</w:t>
      </w:r>
      <w:r>
        <w:rPr>
          <w:sz w:val="32"/>
          <w:szCs w:val="32"/>
        </w:rPr>
        <w:t>01</w:t>
      </w:r>
      <w:r>
        <w:rPr>
          <w:sz w:val="32"/>
          <w:szCs w:val="32"/>
        </w:rPr>
        <w:t xml:space="preserve">» </w:t>
      </w:r>
      <w:r>
        <w:rPr>
          <w:sz w:val="32"/>
          <w:szCs w:val="32"/>
        </w:rPr>
        <w:t xml:space="preserve">мая </w:t>
      </w:r>
      <w:r>
        <w:rPr>
          <w:sz w:val="32"/>
          <w:szCs w:val="32"/>
        </w:rPr>
        <w:t>2026 год  _____________________Николаев С.В.</w:t>
      </w:r>
    </w:p>
    <w:p>
      <w:pPr>
        <w:pStyle w:val="Normal"/>
        <w:jc w:val="center"/>
        <w:rPr>
          <w:sz w:val="32"/>
          <w:szCs w:val="32"/>
        </w:rPr>
      </w:pPr>
      <w:r>
        <w:rPr>
          <w:sz w:val="32"/>
          <w:szCs w:val="32"/>
        </w:rPr>
      </w:r>
    </w:p>
    <w:p>
      <w:pPr>
        <w:pStyle w:val="Normal"/>
        <w:jc w:val="both"/>
        <w:rPr>
          <w:b/>
          <w:bCs/>
          <w:sz w:val="28"/>
          <w:szCs w:val="28"/>
        </w:rPr>
      </w:pPr>
      <w:r>
        <w:rPr>
          <w:b/>
          <w:bCs/>
          <w:sz w:val="28"/>
          <w:szCs w:val="28"/>
        </w:rPr>
      </w:r>
    </w:p>
    <w:p>
      <w:pPr>
        <w:pStyle w:val="Normal"/>
        <w:jc w:val="both"/>
        <w:rPr>
          <w:b/>
          <w:bCs/>
          <w:sz w:val="28"/>
          <w:szCs w:val="28"/>
        </w:rPr>
      </w:pPr>
      <w:r>
        <w:rPr>
          <w:b/>
          <w:bCs/>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b/>
          <w:sz w:val="28"/>
          <w:szCs w:val="28"/>
        </w:rPr>
      </w:pPr>
      <w:r>
        <w:rPr>
          <w:b/>
          <w:sz w:val="28"/>
          <w:szCs w:val="28"/>
        </w:rPr>
      </w:r>
    </w:p>
    <w:p>
      <w:pPr>
        <w:pStyle w:val="Normal"/>
        <w:jc w:val="both"/>
        <w:rPr>
          <w:sz w:val="28"/>
          <w:szCs w:val="28"/>
        </w:rPr>
      </w:pPr>
      <w:r>
        <w:rPr>
          <w:b/>
          <w:sz w:val="28"/>
          <w:szCs w:val="28"/>
        </w:rPr>
        <w:t>Введение</w:t>
      </w:r>
    </w:p>
    <w:p>
      <w:pPr>
        <w:pStyle w:val="Normal"/>
        <w:jc w:val="both"/>
        <w:rPr>
          <w:b/>
          <w:sz w:val="28"/>
          <w:szCs w:val="28"/>
        </w:rPr>
      </w:pPr>
      <w:r>
        <w:rPr>
          <w:b/>
          <w:sz w:val="28"/>
          <w:szCs w:val="28"/>
        </w:rPr>
      </w:r>
    </w:p>
    <w:p>
      <w:pPr>
        <w:pStyle w:val="BodyTextIndent"/>
        <w:spacing w:before="0" w:after="0"/>
        <w:ind w:firstLine="567" w:left="0"/>
        <w:jc w:val="both"/>
        <w:rPr>
          <w:sz w:val="28"/>
          <w:szCs w:val="28"/>
        </w:rPr>
      </w:pPr>
      <w:r>
        <w:rPr>
          <w:sz w:val="28"/>
          <w:szCs w:val="28"/>
        </w:rPr>
        <w:t>Во исполнение Указа Президента Российской Федерации от 28 апреля 2008 г. № 607 и постановления Правительства Российской Федерации от 17 декабря 2012 г. № 1317 «О мерах по реализации Указа Президента Российской Федерации от 28 апреля 2008 г. № 607 «Об оценке эффективности деятельности органов местного самоуправления городских округов и муниципальных районов», мониторинга  показателей оценки эффективности деятельности органов местного самоуправления муниципального района путем заполнения  типовой формы Доклада Главы муниципального образования «Демидовский муниципальный округ» Смоленской области о достигнутых значениях показателей для оценки динамики изменения показателей, характеризующих качество жизни, уровня социально-экономического развития муниципального образования, степени внедрения методов и принципов управления, обеспечивающих переход к более результативным моделям муниципального управления.</w:t>
      </w:r>
    </w:p>
    <w:p>
      <w:pPr>
        <w:pStyle w:val="Normal"/>
        <w:ind w:firstLine="720"/>
        <w:jc w:val="both"/>
        <w:rPr>
          <w:sz w:val="28"/>
          <w:szCs w:val="28"/>
        </w:rPr>
      </w:pPr>
      <w:r>
        <w:rPr>
          <w:bCs/>
          <w:sz w:val="28"/>
          <w:szCs w:val="28"/>
        </w:rPr>
        <w:t>Основной целью социально - экономического развития Демидовского муниципального округа является создание условий для увеличения продолжительности жизни людей, прироста населения за счет повышения его благосостояния, уменьшение бедности (рост денежных доходов населения, сокращение доли населения с доходами ниже прожиточного минимума) на основе динамичного и устойчивого роста.</w:t>
      </w:r>
    </w:p>
    <w:p>
      <w:pPr>
        <w:pStyle w:val="Normal"/>
        <w:ind w:firstLine="720"/>
        <w:jc w:val="both"/>
        <w:rPr>
          <w:sz w:val="28"/>
          <w:szCs w:val="28"/>
        </w:rPr>
      </w:pPr>
      <w:r>
        <w:rPr>
          <w:bCs/>
          <w:sz w:val="28"/>
          <w:szCs w:val="28"/>
        </w:rPr>
        <w:t>Важнейшими задачами обеспечения экономического роста в районе на 2025-2028 годы определены: создание новых рабочих мест, развитие потребительского рынка, сферы услуг, улучшение экологической обстановки, проведение активной социальной и жилищной политики.</w:t>
      </w:r>
    </w:p>
    <w:p>
      <w:pPr>
        <w:pStyle w:val="Normal"/>
        <w:widowControl w:val="false"/>
        <w:ind w:firstLine="567"/>
        <w:jc w:val="both"/>
        <w:rPr>
          <w:sz w:val="28"/>
          <w:szCs w:val="28"/>
        </w:rPr>
      </w:pPr>
      <w:r>
        <w:rPr>
          <w:sz w:val="28"/>
          <w:szCs w:val="28"/>
        </w:rPr>
        <w:t>Предметом оценки являются результаты деятельности Администрации муниципального образования «Демидовский муниципальный округ» Смоленской области в следующих сферах:</w:t>
      </w:r>
    </w:p>
    <w:p>
      <w:pPr>
        <w:pStyle w:val="Normal"/>
        <w:widowControl w:val="false"/>
        <w:ind w:firstLine="567"/>
        <w:jc w:val="both"/>
        <w:rPr>
          <w:sz w:val="28"/>
          <w:szCs w:val="28"/>
        </w:rPr>
      </w:pPr>
      <w:r>
        <w:rPr>
          <w:sz w:val="28"/>
          <w:szCs w:val="28"/>
        </w:rPr>
        <w:t>1) экономическое развитие;</w:t>
      </w:r>
    </w:p>
    <w:p>
      <w:pPr>
        <w:pStyle w:val="Normal"/>
        <w:widowControl w:val="false"/>
        <w:ind w:firstLine="567"/>
        <w:jc w:val="both"/>
        <w:rPr>
          <w:sz w:val="28"/>
          <w:szCs w:val="28"/>
        </w:rPr>
      </w:pPr>
      <w:r>
        <w:rPr>
          <w:sz w:val="28"/>
          <w:szCs w:val="28"/>
        </w:rPr>
        <w:t>2) дошкольное образование;</w:t>
      </w:r>
    </w:p>
    <w:p>
      <w:pPr>
        <w:pStyle w:val="Normal"/>
        <w:widowControl w:val="false"/>
        <w:ind w:firstLine="567"/>
        <w:jc w:val="both"/>
        <w:rPr>
          <w:sz w:val="28"/>
          <w:szCs w:val="28"/>
        </w:rPr>
      </w:pPr>
      <w:r>
        <w:rPr>
          <w:sz w:val="28"/>
          <w:szCs w:val="28"/>
        </w:rPr>
        <w:t>3) общее и дополнительное образование;</w:t>
      </w:r>
    </w:p>
    <w:p>
      <w:pPr>
        <w:pStyle w:val="Normal"/>
        <w:widowControl w:val="false"/>
        <w:ind w:firstLine="567"/>
        <w:jc w:val="both"/>
        <w:rPr>
          <w:sz w:val="28"/>
          <w:szCs w:val="28"/>
        </w:rPr>
      </w:pPr>
      <w:r>
        <w:rPr>
          <w:sz w:val="28"/>
          <w:szCs w:val="28"/>
        </w:rPr>
        <w:t>4) культура;</w:t>
      </w:r>
    </w:p>
    <w:p>
      <w:pPr>
        <w:pStyle w:val="Normal"/>
        <w:widowControl w:val="false"/>
        <w:ind w:firstLine="567"/>
        <w:jc w:val="both"/>
        <w:rPr>
          <w:sz w:val="28"/>
          <w:szCs w:val="28"/>
        </w:rPr>
      </w:pPr>
      <w:r>
        <w:rPr>
          <w:sz w:val="28"/>
          <w:szCs w:val="28"/>
        </w:rPr>
        <w:t>5) физическая культура и спорт;</w:t>
      </w:r>
    </w:p>
    <w:p>
      <w:pPr>
        <w:pStyle w:val="Normal"/>
        <w:widowControl w:val="false"/>
        <w:ind w:firstLine="567"/>
        <w:jc w:val="both"/>
        <w:rPr>
          <w:sz w:val="28"/>
          <w:szCs w:val="28"/>
        </w:rPr>
      </w:pPr>
      <w:r>
        <w:rPr>
          <w:sz w:val="28"/>
          <w:szCs w:val="28"/>
        </w:rPr>
        <w:t>6) жилищное строительство и обеспечение граждан жильем;</w:t>
      </w:r>
    </w:p>
    <w:p>
      <w:pPr>
        <w:pStyle w:val="Normal"/>
        <w:widowControl w:val="false"/>
        <w:ind w:firstLine="567"/>
        <w:jc w:val="both"/>
        <w:rPr>
          <w:sz w:val="28"/>
          <w:szCs w:val="28"/>
        </w:rPr>
      </w:pPr>
      <w:r>
        <w:rPr>
          <w:sz w:val="28"/>
          <w:szCs w:val="28"/>
        </w:rPr>
        <w:t>7) жилищно-коммунальное хозяйство;</w:t>
      </w:r>
    </w:p>
    <w:p>
      <w:pPr>
        <w:pStyle w:val="Normal"/>
        <w:widowControl w:val="false"/>
        <w:ind w:firstLine="567"/>
        <w:jc w:val="both"/>
        <w:rPr>
          <w:sz w:val="28"/>
          <w:szCs w:val="28"/>
        </w:rPr>
      </w:pPr>
      <w:r>
        <w:rPr>
          <w:sz w:val="28"/>
          <w:szCs w:val="28"/>
        </w:rPr>
        <w:t>8) организация муниципального управления;</w:t>
      </w:r>
    </w:p>
    <w:p>
      <w:pPr>
        <w:pStyle w:val="Normal"/>
        <w:widowControl w:val="false"/>
        <w:ind w:firstLine="567"/>
        <w:jc w:val="both"/>
        <w:rPr>
          <w:sz w:val="28"/>
          <w:szCs w:val="28"/>
        </w:rPr>
      </w:pPr>
      <w:r>
        <w:rPr>
          <w:sz w:val="28"/>
          <w:szCs w:val="28"/>
        </w:rPr>
        <w:t>9) энергосбережение и повышение энергетической эффективности.</w:t>
      </w:r>
    </w:p>
    <w:p>
      <w:pPr>
        <w:pStyle w:val="Normal"/>
        <w:widowControl w:val="false"/>
        <w:ind w:firstLine="567"/>
        <w:jc w:val="both"/>
        <w:rPr>
          <w:sz w:val="28"/>
          <w:szCs w:val="28"/>
        </w:rPr>
      </w:pPr>
      <w:r>
        <w:rPr>
          <w:sz w:val="28"/>
          <w:szCs w:val="28"/>
        </w:rPr>
        <w:t>Основным источником информации для заполнения типовой формы доклада является официальная статистическая информация.</w:t>
      </w:r>
    </w:p>
    <w:p>
      <w:pPr>
        <w:pStyle w:val="Normal"/>
        <w:shd w:val="clear" w:color="auto" w:fill="FFFFFF"/>
        <w:suppressAutoHyphens w:val="false"/>
        <w:jc w:val="both"/>
        <w:rPr>
          <w:color w:val="1A1A1A"/>
          <w:sz w:val="28"/>
          <w:szCs w:val="28"/>
          <w:lang w:eastAsia="ru-RU"/>
        </w:rPr>
      </w:pPr>
      <w:r>
        <w:rPr>
          <w:color w:val="1A1A1A"/>
          <w:sz w:val="28"/>
          <w:szCs w:val="28"/>
          <w:lang w:eastAsia="ru-RU"/>
        </w:rPr>
      </w:r>
    </w:p>
    <w:p>
      <w:pPr>
        <w:pStyle w:val="Normal"/>
        <w:shd w:val="clear" w:color="auto" w:fill="FFFFFF"/>
        <w:suppressAutoHyphens w:val="false"/>
        <w:jc w:val="both"/>
        <w:rPr>
          <w:b/>
          <w:sz w:val="28"/>
          <w:szCs w:val="28"/>
          <w:lang w:eastAsia="ru-RU"/>
        </w:rPr>
      </w:pPr>
      <w:r>
        <w:rPr>
          <w:b/>
          <w:sz w:val="28"/>
          <w:szCs w:val="28"/>
          <w:lang w:eastAsia="ru-RU"/>
        </w:rPr>
        <w:t>Общая характеристика</w:t>
      </w:r>
    </w:p>
    <w:p>
      <w:pPr>
        <w:pStyle w:val="Normal"/>
        <w:shd w:val="clear" w:color="auto" w:fill="FFFFFF"/>
        <w:suppressAutoHyphens w:val="false"/>
        <w:jc w:val="both"/>
        <w:rPr>
          <w:color w:val="1A1A1A"/>
          <w:sz w:val="28"/>
          <w:szCs w:val="28"/>
          <w:lang w:eastAsia="ru-RU"/>
        </w:rPr>
      </w:pPr>
      <w:r>
        <w:rPr>
          <w:color w:val="1A1A1A"/>
          <w:sz w:val="28"/>
          <w:szCs w:val="28"/>
          <w:lang w:eastAsia="ru-RU"/>
        </w:rPr>
      </w:r>
    </w:p>
    <w:p>
      <w:pPr>
        <w:pStyle w:val="Normal"/>
        <w:shd w:val="clear" w:color="auto" w:fill="FFFFFF"/>
        <w:suppressAutoHyphens w:val="false"/>
        <w:ind w:firstLine="595" w:left="113"/>
        <w:jc w:val="both"/>
        <w:rPr>
          <w:sz w:val="28"/>
          <w:szCs w:val="28"/>
          <w:lang w:eastAsia="ru-RU"/>
        </w:rPr>
      </w:pPr>
      <w:r>
        <w:rPr>
          <w:sz w:val="28"/>
          <w:szCs w:val="28"/>
          <w:lang w:eastAsia="ru-RU"/>
        </w:rPr>
        <w:t xml:space="preserve">Муниципальное образование «Демидовский муниципальный округ» Смоленской области расположен на северо-западе Смоленской области. Территория округа составляет 251216 га. Округ граничит с Тверской областью, Духовщинским, Смоленским, Руднянским, Велижским округами. Ближайшая железнодорожная станция Рудня находится в 47км от г. Демидова. </w:t>
      </w:r>
    </w:p>
    <w:p>
      <w:pPr>
        <w:pStyle w:val="Normal"/>
        <w:shd w:val="clear" w:color="auto" w:fill="FFFFFF"/>
        <w:suppressAutoHyphens w:val="false"/>
        <w:ind w:firstLine="457" w:left="113"/>
        <w:jc w:val="both"/>
        <w:rPr>
          <w:sz w:val="28"/>
          <w:szCs w:val="28"/>
        </w:rPr>
      </w:pPr>
      <w:r>
        <w:rPr>
          <w:sz w:val="28"/>
          <w:szCs w:val="28"/>
          <w:lang w:eastAsia="ru-RU"/>
        </w:rPr>
        <w:t>Численность населения муниципального образования «Демидовский муниципальный округ» Смоленской области по состоянию на 01.01.2025 – 10597 человек. За январь-декабрь 2024 год родилось – 39 чел., умерло – 192 чел. Сокращение численности населения обусловлено, в первую очередь, естественной убылью населения, а также значительным миграционным оттоком трудоспособного населения Административный центр - г. Демидов.  Муниципальное образование «Демидовский муниципальный округ» связано с другими городами России и Смоленской области автобусным сообщением. Через район проходит автомагистраль Санкт-Петербург – Юг России, а также межрайонные автодороги Демидов – Пржевальское, Демидов – Смоленск.</w:t>
      </w:r>
      <w:r>
        <w:rPr>
          <w:sz w:val="28"/>
          <w:szCs w:val="28"/>
        </w:rPr>
        <w:t xml:space="preserve"> </w:t>
      </w:r>
    </w:p>
    <w:p>
      <w:pPr>
        <w:pStyle w:val="Normal"/>
        <w:shd w:val="clear" w:color="auto" w:fill="FFFFFF"/>
        <w:suppressAutoHyphens w:val="false"/>
        <w:ind w:firstLine="457" w:left="113"/>
        <w:jc w:val="both"/>
        <w:rPr>
          <w:sz w:val="28"/>
          <w:szCs w:val="28"/>
        </w:rPr>
      </w:pPr>
      <w:r>
        <w:rPr>
          <w:sz w:val="28"/>
          <w:szCs w:val="28"/>
        </w:rPr>
      </w:r>
    </w:p>
    <w:p>
      <w:pPr>
        <w:pStyle w:val="Normal"/>
        <w:widowControl w:val="false"/>
        <w:ind w:firstLine="570"/>
        <w:jc w:val="both"/>
        <w:rPr>
          <w:b/>
          <w:sz w:val="28"/>
          <w:szCs w:val="28"/>
        </w:rPr>
      </w:pPr>
      <w:r>
        <w:rPr>
          <w:b/>
          <w:sz w:val="28"/>
          <w:szCs w:val="28"/>
        </w:rPr>
        <w:t>Социально –демографическая ситуация муниципального округа</w:t>
      </w:r>
    </w:p>
    <w:p>
      <w:pPr>
        <w:pStyle w:val="Normal"/>
        <w:widowControl w:val="false"/>
        <w:ind w:firstLine="570"/>
        <w:jc w:val="both"/>
        <w:rPr>
          <w:b/>
          <w:sz w:val="28"/>
          <w:szCs w:val="28"/>
        </w:rPr>
      </w:pPr>
      <w:r>
        <w:rPr>
          <w:b/>
          <w:sz w:val="28"/>
          <w:szCs w:val="28"/>
        </w:rPr>
      </w:r>
    </w:p>
    <w:p>
      <w:pPr>
        <w:pStyle w:val="Normal"/>
        <w:widowControl w:val="false"/>
        <w:ind w:firstLine="570"/>
        <w:jc w:val="both"/>
        <w:rPr>
          <w:sz w:val="28"/>
          <w:szCs w:val="28"/>
        </w:rPr>
      </w:pPr>
      <w:r>
        <w:rPr>
          <w:sz w:val="28"/>
          <w:szCs w:val="28"/>
        </w:rPr>
      </w:r>
    </w:p>
    <w:p>
      <w:pPr>
        <w:pStyle w:val="Normal"/>
        <w:ind w:firstLine="539"/>
        <w:jc w:val="both"/>
        <w:rPr>
          <w:sz w:val="28"/>
          <w:szCs w:val="28"/>
        </w:rPr>
      </w:pPr>
      <w:r>
        <w:rPr>
          <w:sz w:val="28"/>
          <w:szCs w:val="28"/>
        </w:rPr>
        <w:t xml:space="preserve">Ситуация на рынке труда муниципального округа находится в прямой зависимости от социально-экономического положения муниципального округа. Уровень регистрируемой безработицы (отношение численности граждан, признанных в установленном порядке безработными, к численности экономически-активного населения) по Демидовскому муниципальному округу на  1 января 2025 года составляет </w:t>
      </w:r>
      <w:r>
        <w:rPr>
          <w:sz w:val="28"/>
          <w:szCs w:val="28"/>
          <w:lang w:val="en-US"/>
        </w:rPr>
        <w:t>1,08</w:t>
      </w:r>
      <w:r>
        <w:rPr>
          <w:sz w:val="28"/>
          <w:szCs w:val="28"/>
        </w:rPr>
        <w:t>% (аналогичный период прошлого года – 1,4</w:t>
      </w:r>
      <w:r>
        <w:rPr>
          <w:sz w:val="28"/>
          <w:szCs w:val="28"/>
          <w:lang w:val="en-US"/>
        </w:rPr>
        <w:t>4</w:t>
      </w:r>
      <w:r>
        <w:rPr>
          <w:sz w:val="28"/>
          <w:szCs w:val="28"/>
        </w:rPr>
        <w:t xml:space="preserve">%).Численность экономически-активного населения на 2025 год составляет </w:t>
      </w:r>
      <w:r>
        <w:rPr>
          <w:sz w:val="28"/>
          <w:szCs w:val="28"/>
          <w:lang w:val="en-US"/>
        </w:rPr>
        <w:t>6231</w:t>
      </w:r>
      <w:r>
        <w:rPr>
          <w:sz w:val="28"/>
          <w:szCs w:val="28"/>
        </w:rPr>
        <w:t xml:space="preserve"> человек.</w:t>
      </w:r>
    </w:p>
    <w:p>
      <w:pPr>
        <w:pStyle w:val="Normal"/>
        <w:ind w:firstLine="539"/>
        <w:jc w:val="both"/>
        <w:rPr>
          <w:sz w:val="28"/>
          <w:szCs w:val="28"/>
        </w:rPr>
      </w:pPr>
      <w:r>
        <w:rPr>
          <w:sz w:val="28"/>
          <w:szCs w:val="28"/>
        </w:rPr>
        <w:t xml:space="preserve">Коэффициент напряженности (отношение численности незанятых граждан, зарегистрированных в целях поиска подходящей работы, к количеству заявленных свободных рабочих мест) по Демидовскому </w:t>
      </w:r>
      <w:r>
        <w:rPr>
          <w:sz w:val="28"/>
          <w:szCs w:val="28"/>
          <w:lang w:eastAsia="ru-RU"/>
        </w:rPr>
        <w:t>муниципальный округ</w:t>
      </w:r>
      <w:r>
        <w:rPr>
          <w:sz w:val="28"/>
          <w:szCs w:val="28"/>
        </w:rPr>
        <w:t xml:space="preserve"> на 1 января 202</w:t>
      </w:r>
      <w:r>
        <w:rPr>
          <w:sz w:val="28"/>
          <w:szCs w:val="28"/>
          <w:lang w:val="en-US"/>
        </w:rPr>
        <w:t>6</w:t>
      </w:r>
      <w:r>
        <w:rPr>
          <w:sz w:val="28"/>
          <w:szCs w:val="28"/>
        </w:rPr>
        <w:t xml:space="preserve"> года составляет 0,6 человека на одну вакансию (аналогичный период прошлого года – 0,</w:t>
      </w:r>
      <w:r>
        <w:rPr>
          <w:sz w:val="28"/>
          <w:szCs w:val="28"/>
          <w:lang w:val="en-US"/>
        </w:rPr>
        <w:t xml:space="preserve">6 </w:t>
      </w:r>
      <w:r>
        <w:rPr>
          <w:sz w:val="28"/>
          <w:szCs w:val="28"/>
        </w:rPr>
        <w:t>человека на одну вакансию).</w:t>
      </w:r>
    </w:p>
    <w:p>
      <w:pPr>
        <w:pStyle w:val="Normal"/>
        <w:jc w:val="both"/>
        <w:rPr>
          <w:sz w:val="28"/>
          <w:szCs w:val="28"/>
        </w:rPr>
      </w:pPr>
      <w:r>
        <w:rPr>
          <w:sz w:val="28"/>
          <w:szCs w:val="28"/>
        </w:rPr>
        <w:t xml:space="preserve">        </w:t>
      </w:r>
      <w:r>
        <w:rPr>
          <w:sz w:val="28"/>
          <w:szCs w:val="28"/>
        </w:rPr>
        <w:t xml:space="preserve">В сложившейся ситуации службой занятости населения Демидовского муниципального округа проводились соответствующие мероприятия по обеспечению занятости населения и социальной поддержке безработных граждан, повышению качества и доступности государственных услуг. Для расширения возможностей трудоустройства граждан, ищущих работу и оказания государственных услуг работодателям по подбору необходимых работников служба занятости постоянно информировала население и работодателей о положении на рынке труда, в частности, через средства массовой информации района, консультационные пункты, телефоны «горячей линии», интернет-ресурсы. </w:t>
      </w:r>
    </w:p>
    <w:p>
      <w:pPr>
        <w:pStyle w:val="Normal"/>
        <w:spacing w:before="0" w:after="144"/>
        <w:ind w:firstLine="540"/>
        <w:jc w:val="both"/>
        <w:rPr>
          <w:sz w:val="28"/>
          <w:szCs w:val="28"/>
        </w:rPr>
      </w:pPr>
      <w:r>
        <w:rPr>
          <w:sz w:val="28"/>
          <w:szCs w:val="28"/>
        </w:rPr>
      </w:r>
    </w:p>
    <w:p>
      <w:pPr>
        <w:pStyle w:val="Normal"/>
        <w:spacing w:before="0" w:after="144"/>
        <w:ind w:firstLine="540"/>
        <w:jc w:val="both"/>
        <w:rPr>
          <w:sz w:val="28"/>
          <w:szCs w:val="28"/>
        </w:rPr>
      </w:pPr>
      <w:r>
        <w:rPr>
          <w:sz w:val="28"/>
          <w:szCs w:val="28"/>
        </w:rPr>
        <w:t>За отчетный период 202</w:t>
      </w:r>
      <w:r>
        <w:rPr>
          <w:sz w:val="28"/>
          <w:szCs w:val="28"/>
          <w:lang w:val="en-US"/>
        </w:rPr>
        <w:t>5</w:t>
      </w:r>
      <w:r>
        <w:rPr>
          <w:sz w:val="28"/>
          <w:szCs w:val="28"/>
        </w:rPr>
        <w:t xml:space="preserve"> года в районной службе занятости населения  зарегистрированы с целью поиска подходящей работы 2</w:t>
      </w:r>
      <w:r>
        <w:rPr>
          <w:sz w:val="28"/>
          <w:szCs w:val="28"/>
          <w:lang w:val="en-US"/>
        </w:rPr>
        <w:t>30</w:t>
      </w:r>
      <w:r>
        <w:rPr>
          <w:sz w:val="28"/>
          <w:szCs w:val="28"/>
        </w:rPr>
        <w:t xml:space="preserve"> человек. По сравнению с соответствующим периодом прошлого года число обратившихся граждан составило </w:t>
      </w:r>
      <w:r>
        <w:rPr>
          <w:color w:val="000000"/>
          <w:sz w:val="28"/>
          <w:szCs w:val="28"/>
          <w:lang w:val="en-US"/>
        </w:rPr>
        <w:t>87</w:t>
      </w:r>
      <w:r>
        <w:rPr>
          <w:color w:val="000000"/>
          <w:sz w:val="28"/>
          <w:szCs w:val="28"/>
        </w:rPr>
        <w:t>,</w:t>
      </w:r>
      <w:r>
        <w:rPr>
          <w:sz w:val="28"/>
          <w:szCs w:val="28"/>
        </w:rPr>
        <w:t xml:space="preserve">5 </w:t>
      </w:r>
      <w:r>
        <w:rPr>
          <w:sz w:val="28"/>
          <w:szCs w:val="28"/>
          <w:lang w:val="en-US"/>
        </w:rPr>
        <w:t>(263</w:t>
      </w:r>
      <w:r>
        <w:rPr>
          <w:sz w:val="28"/>
          <w:szCs w:val="28"/>
        </w:rPr>
        <w:t> человек</w:t>
      </w:r>
      <w:r>
        <w:rPr>
          <w:sz w:val="28"/>
          <w:szCs w:val="28"/>
          <w:lang w:val="ru-RU"/>
        </w:rPr>
        <w:t>а</w:t>
      </w:r>
      <w:r>
        <w:rPr>
          <w:sz w:val="28"/>
          <w:szCs w:val="28"/>
        </w:rPr>
        <w:t>).</w:t>
      </w:r>
    </w:p>
    <w:p>
      <w:pPr>
        <w:pStyle w:val="Normal"/>
        <w:spacing w:before="0" w:after="144"/>
        <w:ind w:firstLine="540"/>
        <w:jc w:val="both"/>
        <w:rPr>
          <w:sz w:val="28"/>
          <w:szCs w:val="28"/>
        </w:rPr>
      </w:pPr>
      <w:r>
        <w:rPr>
          <w:sz w:val="28"/>
          <w:szCs w:val="28"/>
        </w:rPr>
        <w:t>По состоянию на 1 января 202</w:t>
      </w:r>
      <w:r>
        <w:rPr>
          <w:sz w:val="28"/>
          <w:szCs w:val="28"/>
          <w:lang w:val="en-US"/>
        </w:rPr>
        <w:t>6</w:t>
      </w:r>
      <w:r>
        <w:rPr>
          <w:sz w:val="28"/>
          <w:szCs w:val="28"/>
        </w:rPr>
        <w:t> года состоит на учете 7</w:t>
      </w:r>
      <w:r>
        <w:rPr>
          <w:sz w:val="28"/>
          <w:szCs w:val="28"/>
          <w:lang w:val="en-US"/>
        </w:rPr>
        <w:t>0</w:t>
      </w:r>
      <w:r>
        <w:rPr>
          <w:sz w:val="28"/>
          <w:szCs w:val="28"/>
        </w:rPr>
        <w:t xml:space="preserve"> человека, из них имеют статус безработного </w:t>
      </w:r>
      <w:r>
        <w:rPr>
          <w:sz w:val="28"/>
          <w:szCs w:val="28"/>
          <w:lang w:val="en-US"/>
        </w:rPr>
        <w:t xml:space="preserve">67 </w:t>
      </w:r>
      <w:r>
        <w:rPr>
          <w:sz w:val="28"/>
          <w:szCs w:val="28"/>
        </w:rPr>
        <w:t>человек.</w:t>
      </w:r>
    </w:p>
    <w:p>
      <w:pPr>
        <w:pStyle w:val="BodyText3"/>
        <w:ind w:firstLine="540"/>
        <w:jc w:val="both"/>
        <w:rPr>
          <w:sz w:val="28"/>
          <w:szCs w:val="28"/>
        </w:rPr>
      </w:pPr>
      <w:r>
        <w:rPr>
          <w:sz w:val="28"/>
          <w:szCs w:val="28"/>
        </w:rPr>
        <w:t>Заявленная предприятиями и организациями потребность в работниках за январь-декабрь 202</w:t>
      </w:r>
      <w:r>
        <w:rPr>
          <w:sz w:val="28"/>
          <w:szCs w:val="28"/>
          <w:lang w:val="en-US"/>
        </w:rPr>
        <w:t>5</w:t>
      </w:r>
      <w:r>
        <w:rPr>
          <w:sz w:val="28"/>
          <w:szCs w:val="28"/>
        </w:rPr>
        <w:t> года в службу занятости населения Демидовского муниципального округа составила 1</w:t>
      </w:r>
      <w:r>
        <w:rPr>
          <w:sz w:val="28"/>
          <w:szCs w:val="28"/>
          <w:lang w:val="en-US"/>
        </w:rPr>
        <w:t>24</w:t>
      </w:r>
      <w:r>
        <w:rPr>
          <w:sz w:val="28"/>
          <w:szCs w:val="28"/>
        </w:rPr>
        <w:t> единица. На 1 января 202</w:t>
      </w:r>
      <w:r>
        <w:rPr>
          <w:sz w:val="28"/>
          <w:szCs w:val="28"/>
          <w:lang w:val="en-US"/>
        </w:rPr>
        <w:t>6</w:t>
      </w:r>
      <w:r>
        <w:rPr>
          <w:sz w:val="28"/>
          <w:szCs w:val="28"/>
        </w:rPr>
        <w:t> года в базе данных имелось 1</w:t>
      </w:r>
      <w:r>
        <w:rPr>
          <w:sz w:val="28"/>
          <w:szCs w:val="28"/>
          <w:lang w:val="en-US"/>
        </w:rPr>
        <w:t>24</w:t>
      </w:r>
      <w:r>
        <w:rPr>
          <w:sz w:val="28"/>
          <w:szCs w:val="28"/>
        </w:rPr>
        <w:t> вакансий. Среди имеющихся вакансий наибольший удельный вес занимают следующие профессии: водитель автомобиля (автобуса), швея, врачи различной специализации (отоларинголог, трансфузиолог, онколог, рентгенолог, инфекционист, педиатр участковый, ультразвуковой диагностики и др.), заведующий ФАПом, тракторист, ученики швей, учителя различной специализации, специалисты, полицейский группы задержания, кормач, подсобный рабочий, лесник (государственный инспектор по охране леса), участковый лесничий, медицинская сестра, горничная, оператор технологических установок. По-прежнему недостаточно вакансий для инвалидов, молодежи, лиц проживающих в сельской местности.</w:t>
      </w:r>
    </w:p>
    <w:p>
      <w:pPr>
        <w:pStyle w:val="BodyText3"/>
        <w:ind w:firstLine="540"/>
        <w:jc w:val="both"/>
        <w:rPr>
          <w:sz w:val="28"/>
          <w:szCs w:val="28"/>
        </w:rPr>
      </w:pPr>
      <w:r>
        <w:rPr>
          <w:sz w:val="28"/>
          <w:szCs w:val="28"/>
        </w:rPr>
        <w:t>В мероприятиях временной занятости участвовали 63 человека, в том числе:</w:t>
      </w:r>
    </w:p>
    <w:p>
      <w:pPr>
        <w:pStyle w:val="BodyText3"/>
        <w:ind w:firstLine="540"/>
        <w:jc w:val="both"/>
        <w:rPr>
          <w:sz w:val="28"/>
          <w:szCs w:val="28"/>
        </w:rPr>
      </w:pPr>
      <w:r>
        <w:rPr>
          <w:sz w:val="28"/>
          <w:szCs w:val="28"/>
        </w:rPr>
        <w:t xml:space="preserve">- в оплачиваемых общественных работах – </w:t>
      </w:r>
      <w:r>
        <w:rPr>
          <w:sz w:val="28"/>
          <w:szCs w:val="28"/>
          <w:lang w:val="en-US"/>
        </w:rPr>
        <w:t>0</w:t>
      </w:r>
      <w:r>
        <w:rPr>
          <w:sz w:val="28"/>
          <w:szCs w:val="28"/>
        </w:rPr>
        <w:t xml:space="preserve"> человек;</w:t>
      </w:r>
    </w:p>
    <w:p>
      <w:pPr>
        <w:pStyle w:val="BodyText3"/>
        <w:ind w:firstLine="540"/>
        <w:jc w:val="both"/>
        <w:rPr>
          <w:sz w:val="28"/>
          <w:szCs w:val="28"/>
        </w:rPr>
      </w:pPr>
      <w:r>
        <w:rPr>
          <w:sz w:val="28"/>
          <w:szCs w:val="28"/>
        </w:rPr>
        <w:t>- несовершеннолетние граждане в возрасте от 14 до 18 лет в свободное от учебы время работали  – 5</w:t>
      </w:r>
      <w:r>
        <w:rPr>
          <w:sz w:val="28"/>
          <w:szCs w:val="28"/>
          <w:lang w:val="en-US"/>
        </w:rPr>
        <w:t>4</w:t>
      </w:r>
      <w:r>
        <w:rPr>
          <w:sz w:val="28"/>
          <w:szCs w:val="28"/>
        </w:rPr>
        <w:t xml:space="preserve"> человека,</w:t>
      </w:r>
    </w:p>
    <w:p>
      <w:pPr>
        <w:pStyle w:val="BodyText3"/>
        <w:ind w:firstLine="540"/>
        <w:jc w:val="both"/>
        <w:rPr>
          <w:sz w:val="28"/>
          <w:szCs w:val="28"/>
        </w:rPr>
      </w:pPr>
      <w:r>
        <w:rPr>
          <w:sz w:val="28"/>
          <w:szCs w:val="28"/>
        </w:rPr>
        <w:t xml:space="preserve">- лица, испытывающие трудности в поиске работы – </w:t>
      </w:r>
      <w:r>
        <w:rPr>
          <w:sz w:val="28"/>
          <w:szCs w:val="28"/>
          <w:lang w:val="en-US"/>
        </w:rPr>
        <w:t xml:space="preserve">0 </w:t>
      </w:r>
      <w:r>
        <w:rPr>
          <w:sz w:val="28"/>
          <w:szCs w:val="28"/>
        </w:rPr>
        <w:t>человек.</w:t>
      </w:r>
    </w:p>
    <w:p>
      <w:pPr>
        <w:pStyle w:val="BodyText3"/>
        <w:ind w:firstLine="540"/>
        <w:jc w:val="both"/>
        <w:rPr>
          <w:sz w:val="28"/>
          <w:szCs w:val="28"/>
        </w:rPr>
      </w:pPr>
      <w:r>
        <w:rPr>
          <w:sz w:val="28"/>
          <w:szCs w:val="28"/>
        </w:rPr>
        <w:t>Получили  профориентационные услуги    2</w:t>
      </w:r>
      <w:r>
        <w:rPr>
          <w:sz w:val="28"/>
          <w:szCs w:val="28"/>
          <w:lang w:val="en-US"/>
        </w:rPr>
        <w:t>79</w:t>
      </w:r>
      <w:r>
        <w:rPr>
          <w:sz w:val="28"/>
          <w:szCs w:val="28"/>
        </w:rPr>
        <w:t xml:space="preserve"> человека, по психологической поддержке-</w:t>
      </w:r>
      <w:r>
        <w:rPr>
          <w:sz w:val="28"/>
          <w:szCs w:val="28"/>
          <w:lang w:val="en-US"/>
        </w:rPr>
        <w:t xml:space="preserve">58 </w:t>
      </w:r>
      <w:r>
        <w:rPr>
          <w:sz w:val="28"/>
          <w:szCs w:val="28"/>
        </w:rPr>
        <w:t xml:space="preserve">человек, по социальной адаптации- </w:t>
      </w:r>
      <w:r>
        <w:rPr>
          <w:sz w:val="28"/>
          <w:szCs w:val="28"/>
          <w:lang w:val="en-US"/>
        </w:rPr>
        <w:t>96</w:t>
      </w:r>
      <w:r>
        <w:rPr>
          <w:sz w:val="28"/>
          <w:szCs w:val="28"/>
        </w:rPr>
        <w:t xml:space="preserve"> человека.</w:t>
      </w:r>
    </w:p>
    <w:p>
      <w:pPr>
        <w:pStyle w:val="Normal"/>
        <w:jc w:val="both"/>
        <w:rPr>
          <w:sz w:val="28"/>
          <w:szCs w:val="28"/>
        </w:rPr>
      </w:pPr>
      <w:r>
        <w:rPr>
          <w:sz w:val="28"/>
          <w:szCs w:val="28"/>
        </w:rPr>
        <w:t xml:space="preserve">       </w:t>
      </w:r>
      <w:r>
        <w:rPr>
          <w:sz w:val="28"/>
          <w:szCs w:val="28"/>
        </w:rPr>
        <w:t xml:space="preserve">Все государственные услуги, предоставляемые службой занятости населения, что самое важное, оказываются на безвозмездной основе.  </w:t>
      </w:r>
    </w:p>
    <w:p>
      <w:pPr>
        <w:pStyle w:val="Normal"/>
        <w:jc w:val="both"/>
        <w:rPr>
          <w:sz w:val="28"/>
          <w:szCs w:val="28"/>
        </w:rPr>
      </w:pPr>
      <w:r>
        <w:rPr>
          <w:sz w:val="28"/>
          <w:szCs w:val="28"/>
        </w:rPr>
      </w:r>
    </w:p>
    <w:p>
      <w:pPr>
        <w:pStyle w:val="Normal"/>
        <w:ind w:firstLine="720"/>
        <w:jc w:val="both"/>
        <w:rPr>
          <w:b/>
          <w:sz w:val="28"/>
          <w:szCs w:val="28"/>
        </w:rPr>
      </w:pPr>
      <w:r>
        <w:rPr>
          <w:b/>
          <w:sz w:val="28"/>
          <w:szCs w:val="28"/>
        </w:rPr>
      </w:r>
    </w:p>
    <w:p>
      <w:pPr>
        <w:pStyle w:val="Normal"/>
        <w:ind w:firstLine="720"/>
        <w:jc w:val="both"/>
        <w:rPr>
          <w:b/>
          <w:sz w:val="28"/>
          <w:szCs w:val="28"/>
        </w:rPr>
      </w:pPr>
      <w:r>
        <w:rPr>
          <w:b/>
          <w:sz w:val="28"/>
          <w:szCs w:val="28"/>
        </w:rPr>
        <w:t>Экономическое развитие</w:t>
      </w:r>
    </w:p>
    <w:p>
      <w:pPr>
        <w:pStyle w:val="Normal"/>
        <w:ind w:firstLine="567"/>
        <w:jc w:val="both"/>
        <w:rPr>
          <w:bCs/>
          <w:i/>
          <w:sz w:val="28"/>
          <w:szCs w:val="28"/>
        </w:rPr>
      </w:pPr>
      <w:r>
        <w:rPr>
          <w:bCs/>
          <w:i/>
          <w:sz w:val="28"/>
          <w:szCs w:val="28"/>
        </w:rPr>
      </w:r>
    </w:p>
    <w:p>
      <w:pPr>
        <w:pStyle w:val="Normal"/>
        <w:ind w:firstLine="567"/>
        <w:jc w:val="both"/>
        <w:rPr>
          <w:sz w:val="28"/>
          <w:szCs w:val="28"/>
        </w:rPr>
      </w:pPr>
      <w:r>
        <w:rPr>
          <w:b/>
          <w:bCs/>
          <w:sz w:val="28"/>
          <w:szCs w:val="28"/>
        </w:rPr>
        <w:t>Ч</w:t>
      </w:r>
      <w:r>
        <w:rPr>
          <w:b/>
          <w:iCs/>
          <w:sz w:val="28"/>
          <w:szCs w:val="28"/>
        </w:rPr>
        <w:t>исло субъектов малого и среднего предпринимательства в расчете на 10 тыс. человек населения</w:t>
      </w:r>
      <w:r>
        <w:rPr>
          <w:sz w:val="28"/>
          <w:szCs w:val="28"/>
        </w:rPr>
        <w:t xml:space="preserve"> в отчетном году увеличилось незначительно и  составило 305 единиц (Рост к уровню прошлого отчетного периода – 7,8%).</w:t>
      </w:r>
    </w:p>
    <w:p>
      <w:pPr>
        <w:pStyle w:val="Normal"/>
        <w:ind w:firstLine="567"/>
        <w:jc w:val="both"/>
        <w:rPr>
          <w:sz w:val="28"/>
          <w:szCs w:val="28"/>
        </w:rPr>
      </w:pPr>
      <w:r>
        <w:rPr>
          <w:sz w:val="28"/>
          <w:szCs w:val="28"/>
        </w:rPr>
        <w:t>Планируемый рост показателя обусловлен организационной работой с действующими субъектами МСП и перспективой регистрации новых предпринимателей, имеющих возможности применения льготного режима налогообложения, государственной поддержки, в том числе государственной социальной помощи в рамках  заключения социального контракта и возможности получения в муниципальном образовании гранта «Первый старт» для впервые зарегистрировавшихся субъектов МСП. В прогнозном периоде к 2028 году показатель достигнет числового значения -  328 единиц.</w:t>
      </w:r>
    </w:p>
    <w:p>
      <w:pPr>
        <w:pStyle w:val="Normal"/>
        <w:ind w:firstLine="567"/>
        <w:jc w:val="both"/>
        <w:rPr>
          <w:sz w:val="28"/>
          <w:szCs w:val="28"/>
        </w:rPr>
      </w:pPr>
      <w:r>
        <w:rPr>
          <w:b/>
          <w:iCs/>
          <w:sz w:val="28"/>
          <w:szCs w:val="28"/>
        </w:rPr>
        <w:t>Доля среднесписочной численности работников (без внешних совместителей) малых и средних предприятий  в  среднесписочной численности работников всех предприятий и организаций  района</w:t>
      </w:r>
      <w:r>
        <w:rPr>
          <w:sz w:val="28"/>
          <w:szCs w:val="28"/>
        </w:rPr>
        <w:t xml:space="preserve"> в 2025 году осталась   на  уровне 2024 года и составила 13,3%. </w:t>
      </w:r>
    </w:p>
    <w:p>
      <w:pPr>
        <w:pStyle w:val="Normal"/>
        <w:ind w:firstLine="567"/>
        <w:jc w:val="both"/>
        <w:rPr>
          <w:sz w:val="28"/>
          <w:szCs w:val="28"/>
        </w:rPr>
      </w:pPr>
      <w:r>
        <w:rPr>
          <w:sz w:val="28"/>
          <w:szCs w:val="28"/>
        </w:rPr>
        <w:t>Прогнозируется в 2026 – 2028 г.г. незначительный рост показателя за счет увеличения численности работников малых и средних предприятий и стабилизации экономической ситуации.</w:t>
      </w:r>
    </w:p>
    <w:p>
      <w:pPr>
        <w:pStyle w:val="Normal"/>
        <w:ind w:firstLine="567"/>
        <w:jc w:val="both"/>
        <w:rPr>
          <w:sz w:val="28"/>
          <w:szCs w:val="28"/>
        </w:rPr>
      </w:pPr>
      <w:r>
        <w:rPr>
          <w:b/>
          <w:iCs/>
          <w:sz w:val="28"/>
          <w:szCs w:val="28"/>
        </w:rPr>
        <w:t>Объем инвестиций в основной капитал (за исключением бюджетных средств) в расчете на 1 жителя</w:t>
      </w:r>
      <w:r>
        <w:rPr>
          <w:i/>
          <w:iCs/>
          <w:sz w:val="28"/>
          <w:szCs w:val="28"/>
        </w:rPr>
        <w:t xml:space="preserve"> </w:t>
      </w:r>
      <w:r>
        <w:rPr>
          <w:sz w:val="28"/>
          <w:szCs w:val="28"/>
        </w:rPr>
        <w:t>за 2025 год составил 19120 рубля. Показатель снизился  по сравнению с аналогичным периодом 2024 года на 52%.</w:t>
      </w:r>
    </w:p>
    <w:p>
      <w:pPr>
        <w:pStyle w:val="Normal"/>
        <w:ind w:firstLine="567"/>
        <w:jc w:val="both"/>
        <w:rPr>
          <w:bCs/>
          <w:sz w:val="28"/>
          <w:szCs w:val="28"/>
        </w:rPr>
      </w:pPr>
      <w:r>
        <w:rPr>
          <w:color w:val="000000"/>
          <w:sz w:val="28"/>
          <w:szCs w:val="28"/>
        </w:rPr>
        <w:t xml:space="preserve">На развитие всех отраслей экономики </w:t>
      </w:r>
      <w:r>
        <w:rPr>
          <w:color w:val="000000"/>
          <w:sz w:val="28"/>
          <w:szCs w:val="28"/>
          <w:u w:val="single"/>
        </w:rPr>
        <w:t xml:space="preserve">за 2025 год </w:t>
      </w:r>
      <w:r>
        <w:rPr>
          <w:color w:val="000000"/>
          <w:sz w:val="28"/>
          <w:szCs w:val="28"/>
        </w:rPr>
        <w:t xml:space="preserve"> направлено инвестиций в основной капитал в сумме</w:t>
      </w:r>
      <w:r>
        <w:rPr>
          <w:bCs/>
          <w:color w:val="000000"/>
          <w:sz w:val="28"/>
          <w:szCs w:val="28"/>
        </w:rPr>
        <w:t xml:space="preserve"> 501172,3</w:t>
      </w:r>
      <w:r>
        <w:rPr>
          <w:bCs/>
          <w:sz w:val="28"/>
          <w:szCs w:val="28"/>
        </w:rPr>
        <w:t xml:space="preserve"> тыс.руб., </w:t>
      </w:r>
      <w:r>
        <w:rPr>
          <w:sz w:val="28"/>
          <w:szCs w:val="28"/>
        </w:rPr>
        <w:t xml:space="preserve">из них по малым предприятиям  объем инвестиций составил – 257458,4 </w:t>
      </w:r>
      <w:r>
        <w:rPr>
          <w:bCs/>
          <w:sz w:val="28"/>
          <w:szCs w:val="28"/>
        </w:rPr>
        <w:t>тыс.руб.</w:t>
      </w:r>
      <w:r>
        <w:rPr>
          <w:sz w:val="28"/>
          <w:szCs w:val="28"/>
        </w:rPr>
        <w:t>, по субъектам не относящихся к субъектам малого предпринимательства — 243713,9</w:t>
      </w:r>
      <w:r>
        <w:rPr>
          <w:bCs/>
          <w:sz w:val="28"/>
          <w:szCs w:val="28"/>
        </w:rPr>
        <w:t xml:space="preserve"> тыс. руб.:</w:t>
      </w:r>
    </w:p>
    <w:p>
      <w:pPr>
        <w:pStyle w:val="Normal"/>
        <w:ind w:firstLine="708" w:right="0"/>
        <w:jc w:val="both"/>
        <w:rPr>
          <w:b/>
          <w:color w:val="000000"/>
          <w:sz w:val="28"/>
          <w:szCs w:val="28"/>
        </w:rPr>
      </w:pPr>
      <w:r>
        <w:rPr>
          <w:b/>
          <w:color w:val="000000"/>
          <w:sz w:val="28"/>
          <w:szCs w:val="28"/>
        </w:rPr>
        <w:t>158880 тыс.руб.(65%) приходится на отрасль «Обеспечение электрической энергией, газом и паром, кондиционирование воздуха»:</w:t>
      </w:r>
    </w:p>
    <w:p>
      <w:pPr>
        <w:pStyle w:val="Normal"/>
        <w:ind w:firstLine="708" w:right="0"/>
        <w:jc w:val="both"/>
        <w:rPr/>
      </w:pPr>
      <w:r>
        <w:rPr>
          <w:color w:val="000000"/>
          <w:sz w:val="28"/>
          <w:szCs w:val="28"/>
        </w:rPr>
        <w:t>-</w:t>
      </w:r>
      <w:r>
        <w:rPr>
          <w:color w:val="000000"/>
        </w:rPr>
        <w:t xml:space="preserve"> </w:t>
      </w:r>
      <w:r>
        <w:rPr>
          <w:color w:val="000000"/>
          <w:sz w:val="28"/>
          <w:szCs w:val="28"/>
        </w:rPr>
        <w:t>ТОСП ФЛ ПАО "РОССЕТИ ЦЕНТР"-"СМОЛЕНСКЭНЕРГО" г.Демидов  провели работы по комплексному приведению просек к нормальному состоянию и провело работы по тех. присоединению зданий и сооружений физических и юридических лиц на сумму 13141 тыс.руб.</w:t>
      </w:r>
    </w:p>
    <w:p>
      <w:pPr>
        <w:pStyle w:val="Normal"/>
        <w:ind w:firstLine="708" w:right="0"/>
        <w:jc w:val="both"/>
        <w:rPr>
          <w:color w:val="000000"/>
          <w:sz w:val="28"/>
          <w:szCs w:val="28"/>
        </w:rPr>
      </w:pPr>
      <w:r>
        <w:rPr>
          <w:color w:val="000000"/>
          <w:sz w:val="28"/>
          <w:szCs w:val="28"/>
        </w:rPr>
        <w:t>-ДЕМИДОВСКАЯ ГАЗОВАЯ СЛУЖБА ТОСП АО "ГАЗПРОМ ГАЗОРАСПРЕДЕЛЕНИЕ СМОЛЕНСК" провели работы на сумму 145739 тыс.руб.</w:t>
      </w:r>
    </w:p>
    <w:p>
      <w:pPr>
        <w:pStyle w:val="Normal"/>
        <w:suppressAutoHyphens w:val="false"/>
        <w:ind w:firstLine="708" w:right="0"/>
        <w:jc w:val="both"/>
        <w:rPr/>
      </w:pPr>
      <w:r>
        <w:rPr>
          <w:b/>
          <w:color w:val="000000"/>
          <w:sz w:val="28"/>
          <w:szCs w:val="28"/>
        </w:rPr>
        <w:t>24942,3 тыс. руб. (10 %) приходится на отрасль «</w:t>
      </w:r>
      <w:r>
        <w:rPr>
          <w:rFonts w:eastAsia="Microsoft YaHei"/>
          <w:b/>
          <w:bCs/>
          <w:color w:val="000000"/>
          <w:sz w:val="28"/>
          <w:szCs w:val="28"/>
          <w:lang w:eastAsia="ru-RU"/>
        </w:rPr>
        <w:t>Торговля оптовая и розничная; ремонт автотранспортных средств, мотоциклов</w:t>
      </w:r>
      <w:r>
        <w:rPr>
          <w:b/>
          <w:color w:val="000000"/>
          <w:sz w:val="28"/>
          <w:szCs w:val="28"/>
        </w:rPr>
        <w:t>»</w:t>
      </w:r>
    </w:p>
    <w:p>
      <w:pPr>
        <w:pStyle w:val="Normal"/>
        <w:suppressAutoHyphens w:val="false"/>
        <w:ind w:firstLine="708" w:right="0"/>
        <w:jc w:val="both"/>
        <w:rPr>
          <w:rFonts w:eastAsia="Microsoft YaHei"/>
          <w:iCs/>
          <w:color w:val="000000"/>
          <w:sz w:val="28"/>
          <w:szCs w:val="28"/>
          <w:lang w:eastAsia="ru-RU"/>
        </w:rPr>
      </w:pPr>
      <w:r>
        <w:rPr>
          <w:rFonts w:eastAsia="Microsoft YaHei"/>
          <w:iCs/>
          <w:color w:val="000000"/>
          <w:sz w:val="28"/>
          <w:szCs w:val="28"/>
          <w:lang w:eastAsia="ru-RU"/>
        </w:rPr>
        <w:t>- Магазин «Дикси ЮГ»  приобрели оборудование на сумму 4115,9 тыс. руб.;</w:t>
      </w:r>
    </w:p>
    <w:p>
      <w:pPr>
        <w:pStyle w:val="Normal"/>
        <w:bidi w:val="0"/>
        <w:jc w:val="left"/>
        <w:rPr/>
      </w:pPr>
      <w:r>
        <w:rPr>
          <w:b w:val="false"/>
          <w:i/>
          <w:strike w:val="false"/>
          <w:dstrike w:val="false"/>
          <w:outline w:val="false"/>
          <w:shadow w:val="false"/>
          <w:sz w:val="20"/>
          <w:szCs w:val="20"/>
          <w:u w:val="none"/>
          <w:em w:val="none"/>
        </w:rPr>
        <w:tab/>
      </w:r>
      <w:r>
        <w:rPr>
          <w:b w:val="false"/>
          <w:i w:val="false"/>
          <w:iCs w:val="false"/>
          <w:strike w:val="false"/>
          <w:dstrike w:val="false"/>
          <w:outline w:val="false"/>
          <w:shadow w:val="false"/>
          <w:sz w:val="28"/>
          <w:szCs w:val="28"/>
          <w:u w:val="none"/>
          <w:em w:val="none"/>
        </w:rPr>
        <w:t xml:space="preserve">-ТОСП ООО «АГРОТОРГ» магазин №10508 Пятерочка г. Демидов </w:t>
      </w:r>
      <w:r>
        <w:rPr>
          <w:rFonts w:eastAsia="Microsoft YaHei"/>
          <w:b w:val="false"/>
          <w:i w:val="false"/>
          <w:iCs/>
          <w:strike w:val="false"/>
          <w:dstrike w:val="false"/>
          <w:outline w:val="false"/>
          <w:shadow w:val="false"/>
          <w:color w:val="000000"/>
          <w:sz w:val="28"/>
          <w:szCs w:val="28"/>
          <w:u w:val="none"/>
          <w:em w:val="none"/>
          <w:lang w:eastAsia="ru-RU"/>
        </w:rPr>
        <w:t>приобрели оборудование на сумму 20826,4 тыс.</w:t>
      </w:r>
    </w:p>
    <w:p>
      <w:pPr>
        <w:pStyle w:val="Normal"/>
        <w:bidi w:val="0"/>
        <w:jc w:val="left"/>
        <w:rPr>
          <w:b/>
          <w:i w:val="false"/>
          <w:strike w:val="false"/>
          <w:dstrike w:val="false"/>
          <w:outline w:val="false"/>
          <w:shadow w:val="false"/>
          <w:color w:val="000000"/>
          <w:sz w:val="28"/>
          <w:szCs w:val="28"/>
          <w:u w:val="none"/>
          <w:em w:val="none"/>
        </w:rPr>
      </w:pPr>
      <w:r>
        <w:rPr>
          <w:b/>
          <w:i w:val="false"/>
          <w:strike w:val="false"/>
          <w:dstrike w:val="false"/>
          <w:outline w:val="false"/>
          <w:shadow w:val="false"/>
          <w:color w:val="000000"/>
          <w:sz w:val="28"/>
          <w:szCs w:val="28"/>
          <w:u w:val="none"/>
          <w:em w:val="none"/>
        </w:rPr>
        <w:tab/>
        <w:t>21839 тыс.руб.(9%)приходится на отрасль «Транспортировка и хранение».</w:t>
      </w:r>
    </w:p>
    <w:p>
      <w:pPr>
        <w:pStyle w:val="Normal"/>
        <w:suppressAutoHyphens w:val="false"/>
        <w:ind w:firstLine="708" w:right="0"/>
        <w:jc w:val="both"/>
        <w:rPr>
          <w:rFonts w:eastAsia="Microsoft YaHei"/>
          <w:iCs/>
          <w:color w:val="000000"/>
          <w:sz w:val="28"/>
          <w:szCs w:val="28"/>
          <w:lang w:eastAsia="ru-RU"/>
        </w:rPr>
      </w:pPr>
      <w:r>
        <w:rPr>
          <w:rFonts w:eastAsia="Microsoft YaHei"/>
          <w:iCs/>
          <w:color w:val="000000"/>
          <w:sz w:val="28"/>
          <w:szCs w:val="28"/>
          <w:lang w:eastAsia="ru-RU"/>
        </w:rPr>
        <w:t>-Администрация муниципального образования «Демидовский муниципальный округ» Смоленской области  приобрела  грейдер 18192 тыс. руб.</w:t>
      </w:r>
    </w:p>
    <w:p>
      <w:pPr>
        <w:pStyle w:val="Normal"/>
        <w:suppressAutoHyphens w:val="false"/>
        <w:ind w:firstLine="708" w:right="0"/>
        <w:jc w:val="both"/>
        <w:rPr>
          <w:rFonts w:eastAsia="Microsoft YaHei"/>
          <w:b w:val="false"/>
          <w:bCs w:val="false"/>
          <w:i w:val="false"/>
          <w:iCs/>
          <w:strike w:val="false"/>
          <w:dstrike w:val="false"/>
          <w:outline w:val="false"/>
          <w:shadow w:val="false"/>
          <w:color w:val="000000"/>
          <w:sz w:val="28"/>
          <w:szCs w:val="28"/>
          <w:u w:val="none"/>
          <w:em w:val="none"/>
          <w:lang w:eastAsia="ru-RU"/>
        </w:rPr>
      </w:pPr>
      <w:r>
        <w:rPr>
          <w:rFonts w:eastAsia="Microsoft YaHei"/>
          <w:b w:val="false"/>
          <w:bCs w:val="false"/>
          <w:i w:val="false"/>
          <w:iCs/>
          <w:strike w:val="false"/>
          <w:dstrike w:val="false"/>
          <w:outline w:val="false"/>
          <w:shadow w:val="false"/>
          <w:color w:val="000000"/>
          <w:sz w:val="28"/>
          <w:szCs w:val="28"/>
          <w:u w:val="none"/>
          <w:em w:val="none"/>
          <w:lang w:eastAsia="ru-RU"/>
        </w:rPr>
        <w:t>-Демидовский Фл СОГБУ «Смоленскавтодор» 3647 тыс.руб.</w:t>
      </w:r>
    </w:p>
    <w:p>
      <w:pPr>
        <w:pStyle w:val="Normal"/>
        <w:bidi w:val="0"/>
        <w:jc w:val="both"/>
        <w:rPr>
          <w:b/>
          <w:i w:val="false"/>
          <w:strike w:val="false"/>
          <w:dstrike w:val="false"/>
          <w:outline w:val="false"/>
          <w:shadow w:val="false"/>
          <w:color w:val="000000"/>
          <w:sz w:val="28"/>
          <w:szCs w:val="28"/>
          <w:u w:val="none"/>
          <w:em w:val="none"/>
        </w:rPr>
      </w:pPr>
      <w:r>
        <w:rPr>
          <w:b/>
          <w:i w:val="false"/>
          <w:strike w:val="false"/>
          <w:dstrike w:val="false"/>
          <w:outline w:val="false"/>
          <w:shadow w:val="false"/>
          <w:color w:val="000000"/>
          <w:sz w:val="28"/>
          <w:szCs w:val="28"/>
          <w:u w:val="none"/>
          <w:em w:val="none"/>
        </w:rPr>
        <w:tab/>
        <w:t>65,00 тыс.руб. (1%) приходится на отрасль «Деятельность профессиональная, научная и техническая».</w:t>
      </w:r>
    </w:p>
    <w:p>
      <w:pPr>
        <w:pStyle w:val="Normal"/>
        <w:bidi w:val="0"/>
        <w:jc w:val="both"/>
        <w:rPr>
          <w:b w:val="false"/>
          <w:i w:val="false"/>
          <w:iCs w:val="false"/>
          <w:strike w:val="false"/>
          <w:dstrike w:val="false"/>
          <w:outline w:val="false"/>
          <w:shadow w:val="false"/>
          <w:color w:val="000000"/>
          <w:sz w:val="28"/>
          <w:szCs w:val="28"/>
          <w:u w:val="none"/>
          <w:em w:val="none"/>
        </w:rPr>
      </w:pPr>
      <w:r>
        <w:rPr>
          <w:b w:val="false"/>
          <w:i w:val="false"/>
          <w:iCs w:val="false"/>
          <w:strike w:val="false"/>
          <w:dstrike w:val="false"/>
          <w:outline w:val="false"/>
          <w:shadow w:val="false"/>
          <w:color w:val="000000"/>
          <w:sz w:val="28"/>
          <w:szCs w:val="28"/>
          <w:u w:val="none"/>
          <w:em w:val="none"/>
        </w:rPr>
        <w:t>-Демидовский Фл ОГБУВ «Госветслужба» на 18 тыс. руб. приобрели МФУ;</w:t>
      </w:r>
    </w:p>
    <w:p>
      <w:pPr>
        <w:pStyle w:val="Normal"/>
        <w:bidi w:val="0"/>
        <w:jc w:val="both"/>
        <w:rPr>
          <w:b w:val="false"/>
          <w:bCs w:val="false"/>
          <w:i w:val="false"/>
          <w:iCs w:val="false"/>
          <w:strike w:val="false"/>
          <w:dstrike w:val="false"/>
          <w:outline w:val="false"/>
          <w:shadow w:val="false"/>
          <w:color w:val="000000"/>
          <w:sz w:val="28"/>
          <w:szCs w:val="28"/>
          <w:u w:val="none"/>
          <w:em w:val="none"/>
        </w:rPr>
      </w:pPr>
      <w:r>
        <w:rPr>
          <w:b w:val="false"/>
          <w:bCs w:val="false"/>
          <w:i w:val="false"/>
          <w:iCs w:val="false"/>
          <w:strike w:val="false"/>
          <w:dstrike w:val="false"/>
          <w:outline w:val="false"/>
          <w:shadow w:val="false"/>
          <w:color w:val="000000"/>
          <w:sz w:val="28"/>
          <w:szCs w:val="28"/>
          <w:u w:val="none"/>
          <w:em w:val="none"/>
        </w:rPr>
        <w:t>-МКУ ЦБ Демидовского муниципального округа 47 тыс.руб.</w:t>
      </w:r>
    </w:p>
    <w:p>
      <w:pPr>
        <w:pStyle w:val="Normal"/>
        <w:bidi w:val="0"/>
        <w:jc w:val="both"/>
        <w:rPr>
          <w:b/>
          <w:i w:val="false"/>
          <w:strike w:val="false"/>
          <w:dstrike w:val="false"/>
          <w:outline w:val="false"/>
          <w:shadow w:val="false"/>
          <w:color w:val="000000"/>
          <w:sz w:val="28"/>
          <w:szCs w:val="28"/>
          <w:u w:val="none"/>
          <w:em w:val="none"/>
        </w:rPr>
      </w:pPr>
      <w:r>
        <w:rPr>
          <w:b/>
          <w:i w:val="false"/>
          <w:strike w:val="false"/>
          <w:dstrike w:val="false"/>
          <w:outline w:val="false"/>
          <w:shadow w:val="false"/>
          <w:color w:val="000000"/>
          <w:sz w:val="28"/>
          <w:szCs w:val="28"/>
          <w:u w:val="none"/>
          <w:em w:val="none"/>
        </w:rPr>
        <w:tab/>
        <w:t>3046 тыс.руб.(1%)приходиться на «Деятельность административная и сопутствующие дополнительные услуги».</w:t>
      </w:r>
    </w:p>
    <w:p>
      <w:pPr>
        <w:pStyle w:val="Normal"/>
        <w:bidi w:val="0"/>
        <w:jc w:val="both"/>
        <w:rPr>
          <w:b w:val="false"/>
          <w:i w:val="false"/>
          <w:iCs w:val="false"/>
          <w:strike w:val="false"/>
          <w:dstrike w:val="false"/>
          <w:outline w:val="false"/>
          <w:shadow w:val="false"/>
          <w:color w:val="000000"/>
          <w:sz w:val="28"/>
          <w:szCs w:val="28"/>
          <w:u w:val="none"/>
          <w:em w:val="none"/>
        </w:rPr>
      </w:pPr>
      <w:r>
        <w:rPr>
          <w:b w:val="false"/>
          <w:i w:val="false"/>
          <w:iCs w:val="false"/>
          <w:strike w:val="false"/>
          <w:dstrike w:val="false"/>
          <w:outline w:val="false"/>
          <w:shadow w:val="false"/>
          <w:color w:val="000000"/>
          <w:sz w:val="28"/>
          <w:szCs w:val="28"/>
          <w:u w:val="none"/>
          <w:em w:val="none"/>
        </w:rPr>
        <w:t>-МБУ «Благоустройство» приобрели флаговую конструкцию 385 тыс.руб.;</w:t>
      </w:r>
    </w:p>
    <w:p>
      <w:pPr>
        <w:pStyle w:val="Normal"/>
        <w:bidi w:val="0"/>
        <w:jc w:val="both"/>
        <w:rPr>
          <w:rFonts w:eastAsia="Microsoft YaHei"/>
          <w:b w:val="false"/>
          <w:bCs w:val="false"/>
          <w:i w:val="false"/>
          <w:iCs w:val="false"/>
          <w:strike w:val="false"/>
          <w:dstrike w:val="false"/>
          <w:outline w:val="false"/>
          <w:shadow w:val="false"/>
          <w:color w:val="000000"/>
          <w:sz w:val="28"/>
          <w:szCs w:val="28"/>
          <w:u w:val="none"/>
          <w:em w:val="none"/>
          <w:lang w:eastAsia="ru-RU"/>
        </w:rPr>
      </w:pPr>
      <w:r>
        <w:rPr>
          <w:rFonts w:eastAsia="Microsoft YaHei"/>
          <w:b w:val="false"/>
          <w:bCs w:val="false"/>
          <w:i w:val="false"/>
          <w:iCs w:val="false"/>
          <w:strike w:val="false"/>
          <w:dstrike w:val="false"/>
          <w:outline w:val="false"/>
          <w:shadow w:val="false"/>
          <w:color w:val="000000"/>
          <w:sz w:val="28"/>
          <w:szCs w:val="28"/>
          <w:u w:val="none"/>
          <w:em w:val="none"/>
          <w:lang w:eastAsia="ru-RU"/>
        </w:rPr>
        <w:t>- Титовщинский территориадьный комитет 1796 тыс.руб.;</w:t>
      </w:r>
    </w:p>
    <w:p>
      <w:pPr>
        <w:pStyle w:val="Normal"/>
        <w:bidi w:val="0"/>
        <w:jc w:val="both"/>
        <w:rPr>
          <w:rFonts w:eastAsia="Microsoft YaHei"/>
          <w:b w:val="false"/>
          <w:bCs w:val="false"/>
          <w:i w:val="false"/>
          <w:iCs w:val="false"/>
          <w:strike w:val="false"/>
          <w:dstrike w:val="false"/>
          <w:outline w:val="false"/>
          <w:shadow w:val="false"/>
          <w:color w:val="000000"/>
          <w:sz w:val="28"/>
          <w:szCs w:val="28"/>
          <w:u w:val="none"/>
          <w:em w:val="none"/>
          <w:lang w:eastAsia="ru-RU"/>
        </w:rPr>
      </w:pPr>
      <w:r>
        <w:rPr>
          <w:rFonts w:eastAsia="Microsoft YaHei"/>
          <w:b w:val="false"/>
          <w:bCs w:val="false"/>
          <w:i w:val="false"/>
          <w:iCs w:val="false"/>
          <w:strike w:val="false"/>
          <w:dstrike w:val="false"/>
          <w:outline w:val="false"/>
          <w:shadow w:val="false"/>
          <w:color w:val="000000"/>
          <w:sz w:val="28"/>
          <w:szCs w:val="28"/>
          <w:u w:val="none"/>
          <w:em w:val="none"/>
          <w:lang w:eastAsia="ru-RU"/>
        </w:rPr>
        <w:t>- Заборьевский территориальный комитет 369 тыс.руб.;</w:t>
      </w:r>
    </w:p>
    <w:p>
      <w:pPr>
        <w:pStyle w:val="Normal"/>
        <w:bidi w:val="0"/>
        <w:jc w:val="both"/>
        <w:rPr>
          <w:rFonts w:eastAsia="Microsoft YaHei"/>
          <w:b w:val="false"/>
          <w:bCs w:val="false"/>
          <w:i w:val="false"/>
          <w:iCs w:val="false"/>
          <w:strike w:val="false"/>
          <w:dstrike w:val="false"/>
          <w:outline w:val="false"/>
          <w:shadow w:val="false"/>
          <w:color w:val="000000"/>
          <w:sz w:val="28"/>
          <w:szCs w:val="28"/>
          <w:u w:val="none"/>
          <w:em w:val="none"/>
          <w:lang w:eastAsia="ru-RU"/>
        </w:rPr>
      </w:pPr>
      <w:r>
        <w:rPr>
          <w:rFonts w:eastAsia="Microsoft YaHei"/>
          <w:b w:val="false"/>
          <w:bCs w:val="false"/>
          <w:i w:val="false"/>
          <w:iCs w:val="false"/>
          <w:strike w:val="false"/>
          <w:dstrike w:val="false"/>
          <w:outline w:val="false"/>
          <w:shadow w:val="false"/>
          <w:color w:val="000000"/>
          <w:sz w:val="28"/>
          <w:szCs w:val="28"/>
          <w:u w:val="none"/>
          <w:em w:val="none"/>
          <w:lang w:eastAsia="ru-RU"/>
        </w:rPr>
        <w:t>- Пржевальский территориальный комитет 496 тыс.руб.;-</w:t>
      </w:r>
    </w:p>
    <w:p>
      <w:pPr>
        <w:pStyle w:val="Normal"/>
        <w:suppressAutoHyphens w:val="false"/>
        <w:ind w:firstLine="708" w:right="0"/>
        <w:jc w:val="both"/>
        <w:rPr>
          <w:rFonts w:eastAsia="Microsoft YaHei"/>
          <w:b/>
          <w:bCs/>
          <w:color w:val="000000"/>
          <w:sz w:val="28"/>
          <w:szCs w:val="28"/>
          <w:lang w:eastAsia="ru-RU"/>
        </w:rPr>
      </w:pPr>
      <w:r>
        <w:rPr>
          <w:rFonts w:eastAsia="Microsoft YaHei"/>
          <w:b/>
          <w:bCs/>
          <w:color w:val="000000"/>
          <w:sz w:val="28"/>
          <w:szCs w:val="28"/>
          <w:lang w:eastAsia="ru-RU"/>
        </w:rPr>
        <w:t>1243 тыс.руб. (1%) приходится на отрасль «Государственное управление и обеспечение военной безопасности; социальное обеспечение»</w:t>
      </w:r>
    </w:p>
    <w:p>
      <w:pPr>
        <w:pStyle w:val="Normal"/>
        <w:suppressAutoHyphens w:val="false"/>
        <w:ind w:firstLine="708" w:right="0"/>
        <w:jc w:val="both"/>
        <w:rPr>
          <w:rFonts w:eastAsia="Microsoft YaHei"/>
          <w:iCs/>
          <w:color w:val="000000"/>
          <w:sz w:val="28"/>
          <w:szCs w:val="28"/>
          <w:lang w:eastAsia="ru-RU"/>
        </w:rPr>
      </w:pPr>
      <w:r>
        <w:rPr>
          <w:rFonts w:eastAsia="Microsoft YaHei"/>
          <w:iCs/>
          <w:color w:val="000000"/>
          <w:sz w:val="28"/>
          <w:szCs w:val="28"/>
          <w:lang w:eastAsia="ru-RU"/>
        </w:rPr>
        <w:t>-Администрация муниципального образования «Демидовский муниципальный округ» Смоленской области  1094 тыс. руб.;</w:t>
      </w:r>
    </w:p>
    <w:p>
      <w:pPr>
        <w:pStyle w:val="Normal"/>
        <w:bidi w:val="0"/>
        <w:jc w:val="both"/>
        <w:rPr/>
      </w:pPr>
      <w:r>
        <w:rPr>
          <w:b w:val="false"/>
          <w:i/>
          <w:strike w:val="false"/>
          <w:dstrike w:val="false"/>
          <w:outline w:val="false"/>
          <w:shadow w:val="false"/>
          <w:color w:val="000000"/>
          <w:sz w:val="28"/>
          <w:szCs w:val="28"/>
          <w:u w:val="none"/>
          <w:em w:val="none"/>
        </w:rPr>
        <w:t>-</w:t>
      </w:r>
      <w:r>
        <w:rPr>
          <w:b w:val="false"/>
          <w:i w:val="false"/>
          <w:iCs w:val="false"/>
          <w:strike w:val="false"/>
          <w:dstrike w:val="false"/>
          <w:outline w:val="false"/>
          <w:shadow w:val="false"/>
          <w:color w:val="000000"/>
          <w:sz w:val="28"/>
          <w:szCs w:val="28"/>
          <w:u w:val="none"/>
          <w:em w:val="none"/>
        </w:rPr>
        <w:t>Демидовский окружной совет депутатов приобрели компьютер на  100 тыс.руб.</w:t>
      </w:r>
      <w:r>
        <w:rPr>
          <w:b/>
          <w:i w:val="false"/>
          <w:iCs w:val="false"/>
          <w:strike w:val="false"/>
          <w:dstrike w:val="false"/>
          <w:outline w:val="false"/>
          <w:shadow w:val="false"/>
          <w:color w:val="000000"/>
          <w:sz w:val="28"/>
          <w:szCs w:val="28"/>
          <w:u w:val="none"/>
          <w:em w:val="none"/>
        </w:rPr>
        <w:t>;</w:t>
      </w:r>
    </w:p>
    <w:p>
      <w:pPr>
        <w:pStyle w:val="Normal"/>
        <w:bidi w:val="0"/>
        <w:jc w:val="both"/>
        <w:rPr>
          <w:b w:val="false"/>
          <w:bCs w:val="false"/>
          <w:i w:val="false"/>
          <w:iCs w:val="false"/>
          <w:strike w:val="false"/>
          <w:dstrike w:val="false"/>
          <w:outline w:val="false"/>
          <w:shadow w:val="false"/>
          <w:color w:val="000000"/>
          <w:sz w:val="28"/>
          <w:szCs w:val="28"/>
          <w:u w:val="none"/>
          <w:em w:val="none"/>
        </w:rPr>
      </w:pPr>
      <w:r>
        <w:rPr>
          <w:b w:val="false"/>
          <w:bCs w:val="false"/>
          <w:i w:val="false"/>
          <w:iCs w:val="false"/>
          <w:strike w:val="false"/>
          <w:dstrike w:val="false"/>
          <w:outline w:val="false"/>
          <w:shadow w:val="false"/>
          <w:color w:val="000000"/>
          <w:sz w:val="28"/>
          <w:szCs w:val="28"/>
          <w:u w:val="none"/>
          <w:em w:val="none"/>
        </w:rPr>
        <w:t>-Отдел по образованию  49 тыс. руб.</w:t>
      </w:r>
    </w:p>
    <w:p>
      <w:pPr>
        <w:pStyle w:val="Normal"/>
        <w:ind w:left="720" w:right="0"/>
        <w:jc w:val="both"/>
        <w:rPr>
          <w:b/>
          <w:color w:val="000000"/>
          <w:sz w:val="28"/>
          <w:szCs w:val="28"/>
        </w:rPr>
      </w:pPr>
      <w:r>
        <w:rPr>
          <w:b/>
          <w:color w:val="000000"/>
          <w:sz w:val="28"/>
          <w:szCs w:val="28"/>
        </w:rPr>
        <w:t>3936 тыс.руб. (1%) приходится на отрасль «Образование»:</w:t>
      </w:r>
    </w:p>
    <w:p>
      <w:pPr>
        <w:pStyle w:val="Normal"/>
        <w:jc w:val="both"/>
        <w:rPr>
          <w:color w:val="000000"/>
          <w:sz w:val="28"/>
          <w:szCs w:val="28"/>
        </w:rPr>
      </w:pPr>
      <w:r>
        <w:rPr>
          <w:color w:val="000000"/>
          <w:sz w:val="28"/>
          <w:szCs w:val="28"/>
        </w:rPr>
        <w:tab/>
        <w:t>-СОГБОУ «Демидовская школа -интернат»  на 156 тыс.руб. приобрели оборудование;</w:t>
      </w:r>
    </w:p>
    <w:p>
      <w:pPr>
        <w:pStyle w:val="Normal"/>
        <w:jc w:val="both"/>
        <w:rPr>
          <w:color w:val="000000"/>
          <w:sz w:val="28"/>
          <w:szCs w:val="28"/>
        </w:rPr>
      </w:pPr>
      <w:r>
        <w:rPr>
          <w:color w:val="000000"/>
          <w:sz w:val="28"/>
          <w:szCs w:val="28"/>
        </w:rPr>
        <w:tab/>
        <w:t>-МБОУ Холмовская №1 ОШ приобрели шкаф холодильник на сумму 30тыс. руб и электро плиту 18 тыс.руб.;</w:t>
      </w:r>
    </w:p>
    <w:p>
      <w:pPr>
        <w:pStyle w:val="Normal"/>
        <w:jc w:val="both"/>
        <w:rPr>
          <w:color w:val="000000"/>
          <w:sz w:val="28"/>
          <w:szCs w:val="28"/>
        </w:rPr>
      </w:pPr>
      <w:r>
        <w:rPr>
          <w:color w:val="000000"/>
          <w:sz w:val="28"/>
          <w:szCs w:val="28"/>
        </w:rPr>
        <w:tab/>
        <w:t>-МБОУ Бородинская ОШ  приобрели шкаф холодильник на сумму 30тыс. руб. и электро плиту 18 тыс.руб.,учебные макеты орудия 30 тыс. руб.</w:t>
      </w:r>
    </w:p>
    <w:p>
      <w:pPr>
        <w:pStyle w:val="Normal"/>
        <w:jc w:val="both"/>
        <w:rPr>
          <w:color w:val="000000"/>
          <w:sz w:val="28"/>
          <w:szCs w:val="28"/>
        </w:rPr>
      </w:pPr>
      <w:r>
        <w:rPr>
          <w:color w:val="000000"/>
          <w:sz w:val="28"/>
          <w:szCs w:val="28"/>
        </w:rPr>
        <w:tab/>
        <w:t xml:space="preserve">-МБОУ Михайловская ОШ  приобрели шкаф холодильник на сумму 33 тыс. руб. и электро плиту 19 тыс.руб.,учебные макеты орудия 34 тыс. руб.; </w:t>
      </w:r>
    </w:p>
    <w:p>
      <w:pPr>
        <w:pStyle w:val="Normal"/>
        <w:jc w:val="both"/>
        <w:rPr/>
      </w:pPr>
      <w:r>
        <w:rPr>
          <w:color w:val="000000"/>
          <w:sz w:val="28"/>
          <w:szCs w:val="28"/>
        </w:rPr>
        <w:tab/>
        <w:t>-МБОУ Верхне-</w:t>
      </w:r>
      <w:r>
        <w:rPr>
          <w:color w:val="000000"/>
          <w:sz w:val="28"/>
          <w:szCs w:val="28"/>
          <w:lang w:val="ru-RU"/>
        </w:rPr>
        <w:t>Моховичская</w:t>
      </w:r>
      <w:r>
        <w:rPr>
          <w:color w:val="000000"/>
          <w:sz w:val="28"/>
          <w:szCs w:val="28"/>
        </w:rPr>
        <w:t xml:space="preserve"> ОШ приобрели шкаф холодильник на сумму 33 тыс. руб. и электро плиту 18 тыс.руб.,учебные макеты орудия 30 тыс. руб.; </w:t>
        <w:tab/>
      </w:r>
    </w:p>
    <w:p>
      <w:pPr>
        <w:pStyle w:val="Normal"/>
        <w:jc w:val="both"/>
        <w:rPr>
          <w:color w:val="000000"/>
          <w:sz w:val="28"/>
          <w:szCs w:val="28"/>
        </w:rPr>
      </w:pPr>
      <w:r>
        <w:rPr>
          <w:color w:val="000000"/>
          <w:sz w:val="28"/>
          <w:szCs w:val="28"/>
        </w:rPr>
        <w:tab/>
        <w:t xml:space="preserve">-МБОУ Шаповская ОШ приобрели шкаф холодильник на сумму 33 тыс. руб. и электро плиту 18 тыс.руб.,учебные макеты орудия 30 тыс. руб.; </w:t>
        <w:tab/>
      </w:r>
    </w:p>
    <w:p>
      <w:pPr>
        <w:pStyle w:val="Normal"/>
        <w:jc w:val="both"/>
        <w:rPr>
          <w:color w:val="000000"/>
          <w:sz w:val="28"/>
          <w:szCs w:val="28"/>
        </w:rPr>
      </w:pPr>
      <w:r>
        <w:rPr>
          <w:color w:val="000000"/>
          <w:sz w:val="28"/>
          <w:szCs w:val="28"/>
        </w:rPr>
        <w:tab/>
        <w:t>-МБОУ СШ №1 г.Демидова приобрели на сумму 673,0 тыс.руб. оборудование  в т. ч.водонагреватель 13 тыс руб., библиотечный фонд  159 тыс. руб., станок лазерный 172 тыс. руб., вытяжная система 110 тыс. руб., холодильный шкаф 50 тыс. руб., проектор 55 тыс. руб.</w:t>
      </w:r>
    </w:p>
    <w:p>
      <w:pPr>
        <w:pStyle w:val="Normal"/>
        <w:jc w:val="both"/>
        <w:rPr>
          <w:color w:val="000000"/>
          <w:sz w:val="28"/>
          <w:szCs w:val="28"/>
        </w:rPr>
      </w:pPr>
      <w:r>
        <w:rPr>
          <w:color w:val="000000"/>
          <w:sz w:val="28"/>
          <w:szCs w:val="28"/>
        </w:rPr>
        <w:tab/>
        <w:t>-МБОУ СШ №2г.Демидова приобрели библиотечный  фонд на сумму 80 тыс. руб., станок лазерный  на сумму 185 тыс. руб., верстак 16 тыс. руб., электроплита 43 тыс. руб., холодильный шкаф 57 тыс. руб.</w:t>
      </w:r>
    </w:p>
    <w:p>
      <w:pPr>
        <w:pStyle w:val="Normal"/>
        <w:jc w:val="both"/>
        <w:rPr>
          <w:color w:val="000000"/>
          <w:sz w:val="28"/>
          <w:szCs w:val="28"/>
        </w:rPr>
      </w:pPr>
      <w:r>
        <w:rPr>
          <w:color w:val="000000"/>
          <w:sz w:val="28"/>
          <w:szCs w:val="28"/>
        </w:rPr>
        <w:tab/>
        <w:t>- МБОУ Пржевальская СШ приобрели библиотечный фонд на 28 тыс. руб., проектор 56 тыс. руб. автомат 44 тыс. руб. манекен 22 тыс. руб. , мфу 45 тыс. руб., кофемашина 52 тыс. руб., станок 90 тыс. руб., электроплита 37 тыс. руб. холодильник 33 тыс. руб., доска 31 тыс. руб.</w:t>
      </w:r>
    </w:p>
    <w:p>
      <w:pPr>
        <w:pStyle w:val="Normal"/>
        <w:jc w:val="both"/>
        <w:rPr>
          <w:color w:val="000000"/>
          <w:sz w:val="28"/>
          <w:szCs w:val="28"/>
        </w:rPr>
      </w:pPr>
      <w:r>
        <w:rPr>
          <w:color w:val="000000"/>
          <w:sz w:val="28"/>
          <w:szCs w:val="28"/>
        </w:rPr>
        <w:tab/>
        <w:t>- МБОУ Заборьевская СШ приобрели мфу 24 тыс. руб., библиотечный фонд 10 тыс. руб.</w:t>
      </w:r>
    </w:p>
    <w:p>
      <w:pPr>
        <w:pStyle w:val="Normal"/>
        <w:jc w:val="both"/>
        <w:rPr>
          <w:color w:val="000000"/>
          <w:sz w:val="28"/>
          <w:szCs w:val="28"/>
        </w:rPr>
      </w:pPr>
      <w:r>
        <w:rPr>
          <w:color w:val="000000"/>
          <w:sz w:val="28"/>
          <w:szCs w:val="28"/>
        </w:rPr>
        <w:tab/>
        <w:t>-МБОУ Дубровская СШ приобрели принтер 18 тыс. руб., шкаф 30 тыс. руб.</w:t>
      </w:r>
    </w:p>
    <w:p>
      <w:pPr>
        <w:pStyle w:val="Normal"/>
        <w:jc w:val="both"/>
        <w:rPr>
          <w:color w:val="000000"/>
          <w:sz w:val="28"/>
          <w:szCs w:val="28"/>
        </w:rPr>
      </w:pPr>
      <w:r>
        <w:rPr>
          <w:color w:val="000000"/>
          <w:sz w:val="28"/>
          <w:szCs w:val="28"/>
        </w:rPr>
        <w:tab/>
        <w:t>- МБДОУ Детский сад «Одуванчик» приобрели портативную колонку на 29 тыс. руб.</w:t>
      </w:r>
    </w:p>
    <w:p>
      <w:pPr>
        <w:pStyle w:val="Normal"/>
        <w:jc w:val="both"/>
        <w:rPr>
          <w:b/>
          <w:color w:val="000000"/>
          <w:sz w:val="28"/>
          <w:szCs w:val="28"/>
        </w:rPr>
      </w:pPr>
      <w:r>
        <w:rPr>
          <w:b/>
          <w:color w:val="000000"/>
          <w:sz w:val="28"/>
          <w:szCs w:val="28"/>
        </w:rPr>
        <w:t>10087,2 тыс.руб. (4 %) приходится на отрасль «Деятельность в области здравоохранения и социальных услуг»</w:t>
      </w:r>
    </w:p>
    <w:p>
      <w:pPr>
        <w:pStyle w:val="Normal"/>
        <w:suppressAutoHyphens w:val="false"/>
        <w:ind w:firstLine="708" w:right="0"/>
        <w:jc w:val="both"/>
        <w:rPr/>
      </w:pPr>
      <w:r>
        <w:rPr>
          <w:iCs/>
          <w:color w:val="000000"/>
          <w:sz w:val="28"/>
          <w:szCs w:val="28"/>
          <w:lang w:eastAsia="ru-RU"/>
        </w:rPr>
        <w:t>-</w:t>
      </w:r>
      <w:r>
        <w:rPr>
          <w:color w:val="000000"/>
        </w:rPr>
        <w:t xml:space="preserve"> </w:t>
      </w:r>
      <w:r>
        <w:rPr>
          <w:iCs/>
          <w:color w:val="000000"/>
          <w:sz w:val="28"/>
          <w:szCs w:val="28"/>
          <w:lang w:eastAsia="ru-RU"/>
        </w:rPr>
        <w:t>ОГБУЗ «Демидовская ЦРБ»  всего на 9537 тыс. руб., из них  приобрели модульный ФАП на сумму 4475.руб., автомобиль на сумму 1790,0 тыс.руб., медицинское оборудование на сумму 372,0 тыс. руб. дефибриллятор, МФУ и др.;</w:t>
      </w:r>
    </w:p>
    <w:p>
      <w:pPr>
        <w:pStyle w:val="Normal"/>
        <w:suppressAutoHyphens w:val="false"/>
        <w:ind w:firstLine="708" w:right="0"/>
        <w:jc w:val="both"/>
        <w:rPr>
          <w:iCs/>
          <w:color w:val="000000"/>
          <w:sz w:val="28"/>
          <w:szCs w:val="28"/>
          <w:lang w:eastAsia="ru-RU"/>
        </w:rPr>
      </w:pPr>
      <w:r>
        <w:rPr>
          <w:iCs/>
          <w:color w:val="000000"/>
          <w:sz w:val="28"/>
          <w:szCs w:val="28"/>
          <w:lang w:eastAsia="ru-RU"/>
        </w:rPr>
        <w:t>-СОГБУ «Холмовской дом интернат для престарелых и инвалидов» приобрели стиральную машину 44,00  тыс. руб. и компьютер  38 тыс. руб.;</w:t>
      </w:r>
    </w:p>
    <w:p>
      <w:pPr>
        <w:pStyle w:val="Normal"/>
        <w:suppressAutoHyphens w:val="false"/>
        <w:ind w:firstLine="708" w:right="0"/>
        <w:jc w:val="both"/>
        <w:rPr>
          <w:b w:val="false"/>
          <w:bCs w:val="false"/>
          <w:iCs/>
          <w:color w:val="000000"/>
          <w:sz w:val="28"/>
          <w:szCs w:val="28"/>
          <w:lang w:eastAsia="ru-RU"/>
        </w:rPr>
      </w:pPr>
      <w:r>
        <w:rPr>
          <w:b w:val="false"/>
          <w:bCs w:val="false"/>
          <w:iCs/>
          <w:color w:val="000000"/>
          <w:sz w:val="28"/>
          <w:szCs w:val="28"/>
          <w:lang w:eastAsia="ru-RU"/>
        </w:rPr>
        <w:t>- СОГБУ СРЦН «Исток» приобрели камеру видео наблюдения  48,2 тыс. руб.</w:t>
      </w:r>
    </w:p>
    <w:p>
      <w:pPr>
        <w:pStyle w:val="Normal"/>
        <w:suppressAutoHyphens w:val="false"/>
        <w:ind w:firstLine="708" w:right="0"/>
        <w:jc w:val="both"/>
        <w:rPr/>
      </w:pPr>
      <w:r>
        <w:rPr>
          <w:b/>
          <w:color w:val="000000"/>
          <w:sz w:val="28"/>
          <w:szCs w:val="28"/>
        </w:rPr>
        <w:t>20480,5тыс. руб. (8%) приходится на отрасль</w:t>
      </w:r>
      <w:r>
        <w:rPr>
          <w:rFonts w:eastAsia="Microsoft YaHei"/>
          <w:b/>
          <w:bCs/>
          <w:color w:val="000000"/>
          <w:sz w:val="28"/>
          <w:szCs w:val="28"/>
          <w:lang w:eastAsia="ru-RU"/>
        </w:rPr>
        <w:t>. «Деятельность в области культуры, спорта, организации досуга и развлечений»</w:t>
      </w:r>
    </w:p>
    <w:p>
      <w:pPr>
        <w:pStyle w:val="Normal"/>
        <w:suppressAutoHyphens w:val="false"/>
        <w:ind w:firstLine="708" w:right="0"/>
        <w:jc w:val="both"/>
        <w:rPr>
          <w:rFonts w:eastAsia="Microsoft YaHei"/>
          <w:iCs/>
          <w:color w:val="000000"/>
          <w:sz w:val="28"/>
          <w:szCs w:val="28"/>
          <w:lang w:eastAsia="ru-RU"/>
        </w:rPr>
      </w:pPr>
      <w:r>
        <w:rPr>
          <w:rFonts w:eastAsia="Microsoft YaHei"/>
          <w:iCs/>
          <w:color w:val="000000"/>
          <w:sz w:val="28"/>
          <w:szCs w:val="28"/>
          <w:lang w:eastAsia="ru-RU"/>
        </w:rPr>
        <w:t xml:space="preserve">-ФГБУ "Национальный парк "Смоленское Поозерье" приобрели оборудование на сумму 19785,5 тыс. руб. (офисную мебель, фотоловушки, станки деревообрабатывающие, насосы, сейфы, изделия санитарно-технические из керамики, оборудование кухонное, контейнер не утепленный, ростовая кукла «Зубр», универсальный лесопатрульный модуль, монитор, ноутбук.. </w:t>
      </w:r>
    </w:p>
    <w:p>
      <w:pPr>
        <w:pStyle w:val="Normal"/>
        <w:ind w:firstLine="708" w:right="0"/>
        <w:jc w:val="both"/>
        <w:rPr>
          <w:bCs/>
          <w:color w:val="000000"/>
          <w:sz w:val="28"/>
          <w:szCs w:val="28"/>
        </w:rPr>
      </w:pPr>
      <w:r>
        <w:rPr>
          <w:bCs/>
          <w:color w:val="000000"/>
          <w:sz w:val="28"/>
          <w:szCs w:val="28"/>
        </w:rPr>
        <w:t xml:space="preserve">- МБУК ЦБС приобрели  книги на сумму 24,0 тыс. руб.; </w:t>
      </w:r>
    </w:p>
    <w:p>
      <w:pPr>
        <w:pStyle w:val="Normal"/>
        <w:ind w:firstLine="708" w:right="0"/>
        <w:jc w:val="both"/>
        <w:rPr>
          <w:bCs/>
          <w:color w:val="000000"/>
          <w:sz w:val="28"/>
          <w:szCs w:val="28"/>
        </w:rPr>
      </w:pPr>
      <w:r>
        <w:rPr>
          <w:bCs/>
          <w:color w:val="000000"/>
          <w:sz w:val="28"/>
          <w:szCs w:val="28"/>
        </w:rPr>
        <w:t>- МБУК ЦКС на 974 тыс. руб. вокальную радио аппаратуру;</w:t>
      </w:r>
    </w:p>
    <w:p>
      <w:pPr>
        <w:pStyle w:val="Normal"/>
        <w:ind w:left="720" w:right="0"/>
        <w:jc w:val="both"/>
        <w:rPr>
          <w:bCs/>
          <w:color w:val="000000"/>
          <w:sz w:val="28"/>
          <w:szCs w:val="28"/>
        </w:rPr>
      </w:pPr>
      <w:r>
        <w:rPr>
          <w:bCs/>
          <w:color w:val="000000"/>
          <w:sz w:val="28"/>
          <w:szCs w:val="28"/>
        </w:rPr>
        <w:t>Индекс физического объема за январь-декабрь 2025 года к январю-декабрю 2024 года составил 45,8.</w:t>
      </w:r>
    </w:p>
    <w:p>
      <w:pPr>
        <w:pStyle w:val="Normal"/>
        <w:ind w:firstLine="567"/>
        <w:jc w:val="both"/>
        <w:rPr>
          <w:sz w:val="28"/>
          <w:szCs w:val="28"/>
        </w:rPr>
      </w:pPr>
      <w:r>
        <w:rPr>
          <w:sz w:val="28"/>
          <w:szCs w:val="28"/>
        </w:rPr>
        <w:t>В течение последующих трех лет рост объема инвестиций в основной капитал предприятиями частной формы собственности не планируется, сохранится тенденция к уменьшению данного показателя.</w:t>
      </w:r>
    </w:p>
    <w:p>
      <w:pPr>
        <w:pStyle w:val="Normal"/>
        <w:ind w:firstLine="567"/>
        <w:jc w:val="both"/>
        <w:rPr>
          <w:sz w:val="28"/>
          <w:szCs w:val="28"/>
        </w:rPr>
      </w:pPr>
      <w:r>
        <w:rPr>
          <w:b/>
          <w:iCs/>
          <w:sz w:val="28"/>
          <w:szCs w:val="28"/>
        </w:rPr>
        <w:t>Доля площади земельных участков, являющихся объектами налогообложения земельным налогом в общей площади территории района</w:t>
      </w:r>
      <w:r>
        <w:rPr>
          <w:i/>
          <w:iCs/>
          <w:sz w:val="28"/>
          <w:szCs w:val="28"/>
        </w:rPr>
        <w:t xml:space="preserve"> </w:t>
      </w:r>
      <w:r>
        <w:rPr>
          <w:sz w:val="28"/>
          <w:szCs w:val="28"/>
        </w:rPr>
        <w:t xml:space="preserve">составила в 2025 году 41%. В течение последующих трех лет  прогнозируется сохранить этот показатель. </w:t>
      </w:r>
    </w:p>
    <w:p>
      <w:pPr>
        <w:pStyle w:val="Normal"/>
        <w:ind w:firstLine="567"/>
        <w:jc w:val="both"/>
        <w:rPr>
          <w:sz w:val="28"/>
          <w:szCs w:val="28"/>
        </w:rPr>
      </w:pPr>
      <w:r>
        <w:rPr>
          <w:b/>
          <w:iCs/>
          <w:sz w:val="28"/>
          <w:szCs w:val="28"/>
        </w:rPr>
        <w:t>Доля прибыльных сельскохозяйственных организаций, в общем их числе</w:t>
      </w:r>
      <w:r>
        <w:rPr>
          <w:b/>
          <w:i/>
          <w:iCs/>
          <w:sz w:val="28"/>
          <w:szCs w:val="28"/>
        </w:rPr>
        <w:t>.</w:t>
      </w:r>
      <w:r>
        <w:rPr>
          <w:i/>
          <w:iCs/>
          <w:sz w:val="28"/>
          <w:szCs w:val="28"/>
        </w:rPr>
        <w:t xml:space="preserve"> </w:t>
      </w:r>
      <w:r>
        <w:rPr>
          <w:sz w:val="28"/>
          <w:szCs w:val="28"/>
        </w:rPr>
        <w:t>Всего по району на 01.01.2026 года осуществляют деятельность 10 сельскохозяйственных организаций: - ООО «Новоселки», СПК «Моховичи», ИП Голубева Н.В.(ГКФХ), ИП Медведев А.А., ИП Федченкова В.В. (ГКФХ), ИП Дацкевич А.В. (ГКФХ), ИП Дацкевич В.А. (ГКФХ), ИП Дацкевич И.В. (ГКФХ), КХ «Дагестан», ИП Дацкевич Н.С. (ГКФХ), в том числе СПСК «Демидовский картофель»</w:t>
      </w:r>
      <w:r>
        <w:rPr>
          <w:b/>
          <w:bCs/>
          <w:i/>
          <w:iCs/>
          <w:sz w:val="28"/>
          <w:szCs w:val="28"/>
        </w:rPr>
        <w:t xml:space="preserve">. </w:t>
      </w:r>
      <w:r>
        <w:rPr>
          <w:sz w:val="28"/>
          <w:szCs w:val="28"/>
        </w:rPr>
        <w:t xml:space="preserve">Прибыльных хозяйств в 2024 году- 5 единиц, что составляет 50% в общем их числе. Число прибыльных хозяйств, в прогнозном периоде  планируется  сохранить на прежнем уровне. </w:t>
      </w:r>
    </w:p>
    <w:p>
      <w:pPr>
        <w:pStyle w:val="Normal"/>
        <w:ind w:firstLine="708"/>
        <w:jc w:val="both"/>
        <w:rPr>
          <w:color w:val="000000"/>
        </w:rPr>
      </w:pPr>
      <w:r>
        <w:rPr>
          <w:color w:val="000000"/>
          <w:sz w:val="28"/>
          <w:szCs w:val="28"/>
          <w:shd w:fill="FFFFFF" w:val="clear"/>
        </w:rPr>
        <w:t xml:space="preserve">На территории муниципального образования имеется всего 46,3 тыс. га земель сельскохозяйственного назначения, в том числе: </w:t>
      </w:r>
    </w:p>
    <w:p>
      <w:pPr>
        <w:pStyle w:val="Normal"/>
        <w:jc w:val="both"/>
        <w:rPr>
          <w:color w:val="000000"/>
        </w:rPr>
      </w:pPr>
      <w:r>
        <w:rPr>
          <w:color w:val="000000"/>
          <w:sz w:val="28"/>
          <w:szCs w:val="28"/>
          <w:shd w:fill="FFFFFF" w:val="clear"/>
        </w:rPr>
        <w:tab/>
        <w:t>- пашня – 32,6 га;</w:t>
      </w:r>
    </w:p>
    <w:p>
      <w:pPr>
        <w:pStyle w:val="Normal"/>
        <w:jc w:val="both"/>
        <w:rPr>
          <w:color w:val="000000"/>
        </w:rPr>
      </w:pPr>
      <w:r>
        <w:rPr>
          <w:color w:val="000000"/>
          <w:sz w:val="28"/>
          <w:szCs w:val="28"/>
          <w:shd w:fill="FFFFFF" w:val="clear"/>
        </w:rPr>
        <w:tab/>
        <w:t>- пастбища – 6,8га;</w:t>
      </w:r>
    </w:p>
    <w:p>
      <w:pPr>
        <w:pStyle w:val="Normal"/>
        <w:jc w:val="both"/>
        <w:rPr>
          <w:color w:val="000000"/>
        </w:rPr>
      </w:pPr>
      <w:r>
        <w:rPr>
          <w:color w:val="000000"/>
          <w:sz w:val="28"/>
          <w:szCs w:val="28"/>
          <w:shd w:fill="FFFFFF" w:val="clear"/>
        </w:rPr>
        <w:tab/>
        <w:t>-  сенокосы – 5,06 га;</w:t>
      </w:r>
    </w:p>
    <w:p>
      <w:pPr>
        <w:pStyle w:val="Normal"/>
        <w:jc w:val="both"/>
        <w:rPr>
          <w:color w:val="000000"/>
        </w:rPr>
      </w:pPr>
      <w:r>
        <w:rPr>
          <w:color w:val="000000"/>
          <w:sz w:val="28"/>
          <w:szCs w:val="28"/>
          <w:shd w:fill="FFFFFF" w:val="clear"/>
        </w:rPr>
        <w:tab/>
        <w:t>- многолетние насаждения – 1,568 га;</w:t>
      </w:r>
    </w:p>
    <w:p>
      <w:pPr>
        <w:pStyle w:val="Normal"/>
        <w:jc w:val="both"/>
        <w:rPr>
          <w:color w:val="000000"/>
        </w:rPr>
      </w:pPr>
      <w:r>
        <w:rPr>
          <w:color w:val="000000"/>
          <w:sz w:val="28"/>
          <w:szCs w:val="28"/>
          <w:shd w:fill="FFFFFF" w:val="clear"/>
        </w:rPr>
        <w:tab/>
        <w:t>- залежь – 0,263 га.</w:t>
      </w:r>
    </w:p>
    <w:p>
      <w:pPr>
        <w:pStyle w:val="Normal"/>
        <w:ind w:firstLine="708"/>
        <w:jc w:val="both"/>
        <w:rPr>
          <w:color w:val="000000"/>
        </w:rPr>
      </w:pPr>
      <w:r>
        <w:rPr>
          <w:color w:val="000000"/>
          <w:sz w:val="28"/>
          <w:szCs w:val="28"/>
          <w:shd w:fill="FFFFFF" w:val="clear"/>
        </w:rPr>
        <w:t>Неиспользуемые площади земель сельскохозяйственного назначения - 29,68 тыс. га, площадь сельскохозяйственных угодий  составляет 15, 791 тыс. га, площадь земель сельскохозяйственного назначения находящихся в муниципальной собственности – 5,53 га.</w:t>
      </w:r>
    </w:p>
    <w:p>
      <w:pPr>
        <w:pStyle w:val="Normal"/>
        <w:suppressAutoHyphens w:val="false"/>
        <w:ind w:firstLine="567"/>
        <w:jc w:val="both"/>
        <w:rPr>
          <w:color w:val="000000"/>
          <w:lang w:eastAsia="ru-RU"/>
        </w:rPr>
      </w:pPr>
      <w:r>
        <w:rPr>
          <w:b/>
          <w:sz w:val="28"/>
          <w:szCs w:val="28"/>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r>
        <w:rPr>
          <w:i/>
          <w:sz w:val="28"/>
          <w:szCs w:val="28"/>
        </w:rPr>
        <w:t xml:space="preserve"> </w:t>
      </w:r>
      <w:r>
        <w:rPr>
          <w:sz w:val="28"/>
          <w:szCs w:val="28"/>
        </w:rPr>
        <w:t>составляет по району 55,6 %,что соответствует показателю 2024г.</w:t>
      </w:r>
      <w:r>
        <w:rPr>
          <w:color w:val="000000"/>
          <w:sz w:val="28"/>
          <w:szCs w:val="28"/>
          <w:lang w:eastAsia="ru-RU"/>
        </w:rPr>
        <w:t xml:space="preserve"> В 2026 году планируется отремонтировать 9,83 км автодорог, вследствие чего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должна составить 54,5 %. В дальнейшем данный показатель планируется уменьшать.</w:t>
      </w:r>
    </w:p>
    <w:p>
      <w:pPr>
        <w:pStyle w:val="Normal"/>
        <w:jc w:val="both"/>
        <w:rPr>
          <w:sz w:val="28"/>
          <w:szCs w:val="28"/>
        </w:rPr>
      </w:pPr>
      <w:r>
        <w:rPr>
          <w:sz w:val="28"/>
          <w:szCs w:val="28"/>
        </w:rPr>
        <w:t xml:space="preserve"> </w:t>
      </w:r>
      <w:r>
        <w:rPr>
          <w:sz w:val="28"/>
          <w:szCs w:val="28"/>
        </w:rPr>
        <w:tab/>
        <w:t>Значение показателя на краткосрочную перспективу до 2028 года будет плавно уменьшаться. Снижение обусловлено увеличением финансирования из областного бюджета на проведение ремонта автомобильных дорог.</w:t>
      </w:r>
    </w:p>
    <w:p>
      <w:pPr>
        <w:pStyle w:val="Normal"/>
        <w:ind w:firstLine="567"/>
        <w:jc w:val="both"/>
        <w:rPr>
          <w:sz w:val="28"/>
          <w:szCs w:val="28"/>
        </w:rPr>
      </w:pPr>
      <w:r>
        <w:rPr>
          <w:b/>
          <w:sz w:val="28"/>
          <w:szCs w:val="28"/>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муниципального района</w:t>
      </w:r>
      <w:r>
        <w:rPr>
          <w:sz w:val="28"/>
          <w:szCs w:val="28"/>
        </w:rPr>
        <w:t xml:space="preserve">  составил за отчетный 2024 год 10,5%. Учитывая фактор старения населения отдаленных деревень и сокращение его численности, показатель в прогнозном периоде останется на прежнем уровне.</w:t>
      </w:r>
    </w:p>
    <w:p>
      <w:pPr>
        <w:pStyle w:val="Normal"/>
        <w:ind w:firstLine="567"/>
        <w:jc w:val="both"/>
        <w:rPr>
          <w:sz w:val="28"/>
          <w:szCs w:val="28"/>
        </w:rPr>
      </w:pPr>
      <w:r>
        <w:rPr>
          <w:b/>
          <w:iCs/>
          <w:sz w:val="28"/>
          <w:szCs w:val="28"/>
        </w:rPr>
        <w:t>Среднемесячная номинальная начисленная заработная плата работников крупных и средних предприятий и некоммерческих организаций,  муниципальных дошкольных образовательных учреждений, муниципальных общеобразовательных учреждений, учителей муниципальных общеобразовательных учреждений, муниципальных учреждений культуры и искусства, муниципальных учреждений физической культуры и спорта</w:t>
      </w:r>
      <w:r>
        <w:rPr>
          <w:sz w:val="28"/>
          <w:szCs w:val="28"/>
        </w:rPr>
        <w:t xml:space="preserve"> увеличивается из года в год, что обусловлено реализацией Указов Президента и  объективными факторами  состояния государственной экономики. Так за 2025 год среднемесячная начисленная заработная плата работников: крупных и средних предприятий и некоммерческих организаций к уровню 2024 года выросла на 25,6%; </w:t>
      </w:r>
      <w:r>
        <w:rPr>
          <w:iCs/>
          <w:sz w:val="28"/>
          <w:szCs w:val="28"/>
        </w:rPr>
        <w:t xml:space="preserve">муниципальных общеобразовательных учреждений на 16,2%, </w:t>
      </w:r>
      <w:r>
        <w:rPr>
          <w:sz w:val="28"/>
          <w:szCs w:val="28"/>
        </w:rPr>
        <w:t>муниципальных учреждений культуры и искусства на 25,5%,  муниципальных дошкольных образовательных учреждений на 16,2%, учителей муниципальных общеобразовательных учреждений на 18,8 %.</w:t>
      </w:r>
    </w:p>
    <w:p>
      <w:pPr>
        <w:pStyle w:val="Normal"/>
        <w:ind w:firstLine="567"/>
        <w:jc w:val="both"/>
        <w:rPr>
          <w:b/>
          <w:bCs/>
          <w:i/>
          <w:iCs/>
          <w:sz w:val="28"/>
          <w:szCs w:val="28"/>
        </w:rPr>
      </w:pPr>
      <w:r>
        <w:rPr>
          <w:sz w:val="28"/>
          <w:szCs w:val="28"/>
        </w:rPr>
        <w:t>В перспективе в прогнозном периоде с 2026 по 2028 г. заработная плата будет ежегодно увеличиваться.</w:t>
      </w:r>
    </w:p>
    <w:p>
      <w:pPr>
        <w:pStyle w:val="Normal"/>
        <w:suppressAutoHyphens w:val="true"/>
        <w:spacing w:lineRule="auto" w:line="240" w:before="0" w:after="0"/>
        <w:ind w:firstLine="705"/>
        <w:jc w:val="both"/>
        <w:rPr>
          <w:rFonts w:ascii="Times New Roman" w:hAnsi="Times New Roman" w:eastAsia="Times New Roman" w:cs="Times New Roman"/>
          <w:b/>
          <w:sz w:val="28"/>
          <w:szCs w:val="34"/>
          <w:lang w:eastAsia="zh-CN"/>
        </w:rPr>
      </w:pPr>
      <w:r>
        <w:rPr>
          <w:rFonts w:eastAsia="Times New Roman" w:cs="Times New Roman"/>
          <w:b/>
          <w:sz w:val="28"/>
          <w:szCs w:val="34"/>
          <w:lang w:eastAsia="zh-CN"/>
        </w:rPr>
      </w:r>
    </w:p>
    <w:p>
      <w:pPr>
        <w:pStyle w:val="Normal"/>
        <w:suppressAutoHyphens w:val="true"/>
        <w:spacing w:lineRule="auto" w:line="240" w:before="0" w:after="0"/>
        <w:ind w:firstLine="705"/>
        <w:jc w:val="both"/>
        <w:rPr>
          <w:rFonts w:ascii="Times New Roman" w:hAnsi="Times New Roman" w:eastAsia="Times New Roman" w:cs="Times New Roman"/>
          <w:b/>
          <w:sz w:val="28"/>
          <w:szCs w:val="34"/>
          <w:lang w:eastAsia="zh-CN"/>
        </w:rPr>
      </w:pPr>
      <w:r>
        <w:rPr>
          <w:rFonts w:eastAsia="Times New Roman" w:cs="Times New Roman"/>
          <w:b/>
          <w:sz w:val="28"/>
          <w:szCs w:val="34"/>
          <w:lang w:eastAsia="zh-CN"/>
        </w:rPr>
        <w:t>Дошкольное образование</w:t>
      </w:r>
    </w:p>
    <w:p>
      <w:pPr>
        <w:pStyle w:val="Normal"/>
        <w:suppressAutoHyphens w:val="true"/>
        <w:spacing w:lineRule="auto" w:line="240" w:before="0" w:after="0"/>
        <w:ind w:firstLine="705"/>
        <w:jc w:val="both"/>
        <w:rPr>
          <w:rFonts w:ascii="Times New Roman" w:hAnsi="Times New Roman" w:eastAsia="Times New Roman" w:cs="Times New Roman"/>
          <w:sz w:val="28"/>
          <w:szCs w:val="34"/>
          <w:lang w:eastAsia="zh-CN"/>
        </w:rPr>
      </w:pPr>
      <w:r>
        <w:rPr>
          <w:rFonts w:eastAsia="Times New Roman" w:cs="Times New Roman"/>
          <w:sz w:val="28"/>
          <w:szCs w:val="34"/>
          <w:lang w:eastAsia="zh-CN"/>
        </w:rPr>
      </w:r>
    </w:p>
    <w:p>
      <w:pPr>
        <w:pStyle w:val="Normal"/>
        <w:suppressAutoHyphens w:val="true"/>
        <w:spacing w:lineRule="auto" w:line="240" w:before="0" w:after="0"/>
        <w:ind w:firstLine="705"/>
        <w:jc w:val="both"/>
        <w:rPr>
          <w:rFonts w:ascii="Times New Roman" w:hAnsi="Times New Roman" w:eastAsia="Times New Roman" w:cs="Times New Roman"/>
          <w:b/>
          <w:bCs/>
          <w:sz w:val="28"/>
          <w:szCs w:val="28"/>
          <w:lang w:eastAsia="zh-CN"/>
        </w:rPr>
      </w:pPr>
      <w:r>
        <w:rPr>
          <w:rFonts w:eastAsia="Times New Roman" w:cs="Times New Roman"/>
          <w:b/>
          <w:iCs/>
          <w:sz w:val="28"/>
          <w:szCs w:val="28"/>
          <w:lang w:eastAsia="zh-CN"/>
        </w:rPr>
        <w:t>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w:t>
      </w:r>
      <w:r>
        <w:rPr>
          <w:rFonts w:eastAsia="Times New Roman" w:cs="Times New Roman"/>
          <w:i/>
          <w:iCs/>
          <w:sz w:val="28"/>
          <w:szCs w:val="28"/>
          <w:lang w:eastAsia="zh-CN"/>
        </w:rPr>
        <w:t xml:space="preserve"> </w:t>
      </w:r>
      <w:r>
        <w:rPr>
          <w:rFonts w:eastAsia="Times New Roman" w:cs="Times New Roman"/>
          <w:sz w:val="28"/>
          <w:szCs w:val="28"/>
          <w:lang w:eastAsia="zh-CN"/>
        </w:rPr>
        <w:t xml:space="preserve">составила в 2025 году 74,2%.  Показатель наполняемости постоянно варьируется  и зависит от  наличия  детей. </w:t>
      </w:r>
    </w:p>
    <w:p>
      <w:pPr>
        <w:pStyle w:val="Normal"/>
        <w:suppressAutoHyphens w:val="true"/>
        <w:spacing w:lineRule="auto" w:line="240" w:before="0" w:after="0"/>
        <w:jc w:val="both"/>
        <w:rPr>
          <w:rFonts w:ascii="Times New Roman" w:hAnsi="Times New Roman" w:eastAsia="Times New Roman" w:cs="Times New Roman"/>
          <w:b/>
          <w:bCs/>
          <w:sz w:val="28"/>
          <w:szCs w:val="28"/>
          <w:lang w:eastAsia="zh-CN"/>
        </w:rPr>
      </w:pPr>
      <w:r>
        <w:rPr>
          <w:rFonts w:eastAsia="Times New Roman" w:cs="Times New Roman"/>
          <w:sz w:val="28"/>
          <w:szCs w:val="28"/>
          <w:lang w:eastAsia="zh-CN"/>
        </w:rPr>
        <w:t>На период до 2028 года предполагается стабилизация указанного показателя и сохранение его динамики на уровне 2025 года.</w:t>
      </w:r>
    </w:p>
    <w:p>
      <w:pPr>
        <w:pStyle w:val="Normal"/>
        <w:suppressAutoHyphens w:val="true"/>
        <w:spacing w:lineRule="auto" w:line="240" w:before="0" w:after="0"/>
        <w:ind w:firstLine="705"/>
        <w:jc w:val="both"/>
        <w:rPr>
          <w:rFonts w:ascii="Times New Roman" w:hAnsi="Times New Roman" w:eastAsia="Times New Roman" w:cs="Times New Roman"/>
          <w:sz w:val="28"/>
          <w:szCs w:val="34"/>
          <w:lang w:eastAsia="zh-CN"/>
        </w:rPr>
      </w:pPr>
      <w:r>
        <w:rPr>
          <w:rFonts w:eastAsia="Times New Roman" w:cs="Times New Roman"/>
          <w:sz w:val="28"/>
          <w:szCs w:val="34"/>
          <w:lang w:eastAsia="zh-CN"/>
        </w:rPr>
        <w:t xml:space="preserve">В 2025 году сеть муниципальных образовательных учреждений, реализующих образовательные программы дошкольного образования, состоит из 3 детских садов и 3 дошкольных групп при общеобразовательных организациях. Охват детей в возрасте от 1 до 6 лет услугами дошкольного образования  по сравнению с прошлым годом остается стабильным. </w:t>
      </w:r>
    </w:p>
    <w:p>
      <w:pPr>
        <w:pStyle w:val="Normal"/>
        <w:suppressAutoHyphens w:val="true"/>
        <w:spacing w:lineRule="auto" w:line="240" w:before="0" w:after="0"/>
        <w:ind w:firstLine="705"/>
        <w:jc w:val="both"/>
        <w:rPr>
          <w:rFonts w:ascii="Times New Roman" w:hAnsi="Times New Roman" w:eastAsia="Times New Roman" w:cs="Times New Roman"/>
          <w:sz w:val="28"/>
          <w:szCs w:val="34"/>
          <w:lang w:eastAsia="zh-CN"/>
        </w:rPr>
      </w:pPr>
      <w:r>
        <w:rPr>
          <w:rFonts w:eastAsia="Times New Roman" w:cs="Times New Roman"/>
          <w:sz w:val="28"/>
          <w:szCs w:val="34"/>
          <w:lang w:eastAsia="zh-CN"/>
        </w:rPr>
        <w:t>На 31.12.2025 году образовательные программы дошкольного образования в муниципальных образовательных организациях осваивали 245 дошкольника, из них в детских садах Демидовского района –205 детей, в дошкольных группах при школах - 40 детей .</w:t>
      </w:r>
    </w:p>
    <w:p>
      <w:pPr>
        <w:pStyle w:val="Normal"/>
        <w:suppressAutoHyphens w:val="true"/>
        <w:spacing w:lineRule="auto" w:line="240" w:before="0" w:after="0"/>
        <w:ind w:firstLine="705"/>
        <w:jc w:val="both"/>
        <w:rPr>
          <w:rFonts w:ascii="Times New Roman" w:hAnsi="Times New Roman" w:eastAsia="Times New Roman" w:cs="Times New Roman"/>
          <w:sz w:val="28"/>
          <w:szCs w:val="34"/>
          <w:lang w:eastAsia="zh-CN"/>
        </w:rPr>
      </w:pPr>
      <w:r>
        <w:rPr>
          <w:rFonts w:eastAsia="Times New Roman" w:cs="Times New Roman"/>
          <w:sz w:val="28"/>
          <w:szCs w:val="34"/>
          <w:lang w:eastAsia="zh-CN"/>
        </w:rPr>
        <w:t xml:space="preserve">         </w:t>
      </w:r>
      <w:r>
        <w:rPr>
          <w:rFonts w:eastAsia="Times New Roman" w:cs="Times New Roman"/>
          <w:sz w:val="28"/>
          <w:szCs w:val="34"/>
          <w:lang w:eastAsia="zh-CN"/>
        </w:rPr>
        <w:t>В 2025 году очередность в дошкольные образовательные учреждения отсутствует. На учете для получения мест в дошкольных учреждениях Демидовского района находятся 35 детей, желаемая дата приема в ДОУ у которых ещё не наступила.</w:t>
      </w:r>
    </w:p>
    <w:p>
      <w:pPr>
        <w:pStyle w:val="Normal"/>
        <w:suppressAutoHyphens w:val="true"/>
        <w:spacing w:lineRule="auto" w:line="240" w:before="0" w:after="0"/>
        <w:ind w:firstLine="567"/>
        <w:jc w:val="both"/>
        <w:rPr>
          <w:rFonts w:ascii="Times New Roman" w:hAnsi="Times New Roman" w:eastAsia="Times New Roman" w:cs="Times New Roman"/>
          <w:sz w:val="28"/>
          <w:szCs w:val="28"/>
          <w:lang w:eastAsia="zh-CN"/>
        </w:rPr>
      </w:pPr>
      <w:r>
        <w:rPr>
          <w:rFonts w:eastAsia="Times New Roman" w:cs="Times New Roman"/>
          <w:b/>
          <w:iCs/>
          <w:sz w:val="28"/>
          <w:szCs w:val="28"/>
          <w:lang w:eastAsia="zh-CN"/>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r>
        <w:rPr>
          <w:rFonts w:eastAsia="Times New Roman" w:cs="Times New Roman"/>
          <w:i/>
          <w:iCs/>
          <w:sz w:val="28"/>
          <w:szCs w:val="28"/>
          <w:lang w:eastAsia="zh-CN"/>
        </w:rPr>
        <w:t xml:space="preserve"> </w:t>
      </w:r>
      <w:r>
        <w:rPr>
          <w:rFonts w:eastAsia="Times New Roman" w:cs="Times New Roman"/>
          <w:sz w:val="28"/>
          <w:szCs w:val="28"/>
          <w:lang w:eastAsia="zh-CN"/>
        </w:rPr>
        <w:t>составила на 01.01.2025 года 33,3%. Необходимые ремонтные работы выполняются. В перспективе данный показатель  будет снижаться.</w:t>
      </w:r>
    </w:p>
    <w:p>
      <w:pPr>
        <w:pStyle w:val="Normal"/>
        <w:suppressAutoHyphens w:val="true"/>
        <w:spacing w:lineRule="auto" w:line="240" w:before="0" w:after="0"/>
        <w:ind w:firstLine="705"/>
        <w:jc w:val="both"/>
        <w:rPr>
          <w:rFonts w:ascii="Times New Roman" w:hAnsi="Times New Roman" w:eastAsia="Times New Roman" w:cs="Times New Roman"/>
          <w:sz w:val="28"/>
          <w:szCs w:val="24"/>
          <w:lang w:eastAsia="zh-CN"/>
        </w:rPr>
      </w:pPr>
      <w:r>
        <w:rPr>
          <w:rFonts w:eastAsia="Times New Roman" w:cs="Times New Roman"/>
          <w:sz w:val="28"/>
          <w:szCs w:val="24"/>
          <w:lang w:eastAsia="zh-CN"/>
        </w:rPr>
      </w:r>
    </w:p>
    <w:p>
      <w:pPr>
        <w:pStyle w:val="Normal"/>
        <w:suppressAutoHyphens w:val="true"/>
        <w:spacing w:lineRule="auto" w:line="240" w:before="0" w:after="0"/>
        <w:ind w:firstLine="585"/>
        <w:jc w:val="both"/>
        <w:rPr>
          <w:rFonts w:ascii="Times New Roman" w:hAnsi="Times New Roman" w:eastAsia="Times New Roman" w:cs="Times New Roman"/>
          <w:sz w:val="24"/>
          <w:szCs w:val="24"/>
          <w:lang w:eastAsia="zh-CN"/>
        </w:rPr>
      </w:pPr>
      <w:r>
        <w:rPr>
          <w:rFonts w:eastAsia="Times New Roman" w:cs="Times New Roman"/>
          <w:b/>
          <w:bCs/>
          <w:sz w:val="28"/>
          <w:szCs w:val="28"/>
          <w:lang w:eastAsia="zh-CN"/>
        </w:rPr>
        <w:t>Общее и дополнительное образование</w:t>
      </w:r>
    </w:p>
    <w:p>
      <w:pPr>
        <w:pStyle w:val="Normal"/>
        <w:suppressAutoHyphens w:val="true"/>
        <w:spacing w:lineRule="exact" w:line="317" w:before="0" w:after="0"/>
        <w:ind w:firstLine="705"/>
        <w:jc w:val="both"/>
        <w:rPr>
          <w:rFonts w:ascii="Times New Roman" w:hAnsi="Times New Roman" w:eastAsia="Times New Roman" w:cs="Times New Roman"/>
          <w:sz w:val="24"/>
          <w:szCs w:val="24"/>
          <w:lang w:eastAsia="zh-CN"/>
        </w:rPr>
      </w:pPr>
      <w:r>
        <w:rPr>
          <w:rFonts w:eastAsia="Times New Roman" w:cs="Times New Roman"/>
          <w:sz w:val="24"/>
          <w:szCs w:val="24"/>
          <w:lang w:eastAsia="zh-CN"/>
        </w:rPr>
      </w:r>
    </w:p>
    <w:p>
      <w:pPr>
        <w:pStyle w:val="Normal"/>
        <w:suppressAutoHyphens w:val="true"/>
        <w:spacing w:lineRule="auto" w:line="240" w:before="0" w:after="119"/>
        <w:ind w:firstLine="690"/>
        <w:contextualSpacing/>
        <w:jc w:val="both"/>
        <w:rPr>
          <w:rFonts w:ascii="Times New Roman" w:hAnsi="Times New Roman" w:eastAsia="Times New Roman" w:cs="Times New Roman"/>
          <w:sz w:val="28"/>
          <w:szCs w:val="24"/>
          <w:lang w:eastAsia="zh-CN"/>
        </w:rPr>
      </w:pPr>
      <w:r>
        <w:rPr>
          <w:rFonts w:eastAsia="Times New Roman" w:cs="Times New Roman"/>
          <w:b/>
          <w:iCs/>
          <w:sz w:val="28"/>
          <w:szCs w:val="28"/>
          <w:lang w:eastAsia="zh-CN"/>
        </w:rPr>
        <w:t>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r>
        <w:rPr>
          <w:rFonts w:eastAsia="Times New Roman" w:cs="Times New Roman"/>
          <w:b/>
          <w:sz w:val="28"/>
          <w:szCs w:val="28"/>
          <w:lang w:eastAsia="zh-CN"/>
        </w:rPr>
        <w:t>.</w:t>
      </w:r>
      <w:r>
        <w:rPr>
          <w:rFonts w:eastAsia="Times New Roman" w:cs="Times New Roman"/>
          <w:sz w:val="28"/>
          <w:szCs w:val="28"/>
          <w:lang w:eastAsia="zh-CN"/>
        </w:rPr>
        <w:t xml:space="preserve"> В  2025 году  все выпускники получили аттестаты о среднем (полном) образовании. Данный показатель и на перспективу прогнозируется  также нулевым. </w:t>
      </w:r>
      <w:r>
        <w:rPr>
          <w:rFonts w:eastAsia="Times New Roman" w:cs="Times New Roman"/>
          <w:sz w:val="28"/>
          <w:szCs w:val="34"/>
          <w:lang w:eastAsia="zh-CN"/>
        </w:rPr>
        <w:t>В 2025 году сеть  муниципальных образовательных учреждений состояла из 10 школ (из них – 3 имеют дошкольные группы), 3 детских сада, 2 Домов детского творчества и 1 детско-юношеской спортивной школы.</w:t>
      </w:r>
    </w:p>
    <w:p>
      <w:pPr>
        <w:pStyle w:val="Normal"/>
        <w:suppressAutoHyphens w:val="true"/>
        <w:spacing w:lineRule="auto" w:line="240" w:before="0" w:after="119"/>
        <w:ind w:firstLine="735"/>
        <w:contextualSpacing/>
        <w:jc w:val="both"/>
        <w:rPr>
          <w:rFonts w:ascii="Times New Roman" w:hAnsi="Times New Roman" w:eastAsia="Times New Roman" w:cs="Times New Roman"/>
          <w:sz w:val="28"/>
          <w:szCs w:val="24"/>
          <w:lang w:eastAsia="zh-CN"/>
        </w:rPr>
      </w:pPr>
      <w:r>
        <w:rPr>
          <w:rFonts w:eastAsia="Times New Roman" w:cs="Times New Roman"/>
          <w:sz w:val="28"/>
          <w:szCs w:val="24"/>
          <w:lang w:eastAsia="zh-CN"/>
        </w:rPr>
        <w:t>Образовательные услуги в районе предоставляют  10 школ: 5 средних, 5 основных.</w:t>
      </w:r>
    </w:p>
    <w:p>
      <w:pPr>
        <w:pStyle w:val="Normal"/>
        <w:suppressAutoHyphens w:val="true"/>
        <w:spacing w:lineRule="auto" w:line="240" w:before="0" w:after="119"/>
        <w:ind w:firstLine="720"/>
        <w:contextualSpacing/>
        <w:jc w:val="both"/>
        <w:rPr>
          <w:rFonts w:ascii="Times New Roman" w:hAnsi="Times New Roman" w:eastAsia="Times New Roman" w:cs="Times New Roman"/>
          <w:sz w:val="28"/>
          <w:szCs w:val="24"/>
          <w:lang w:eastAsia="zh-CN"/>
        </w:rPr>
      </w:pPr>
      <w:r>
        <w:rPr>
          <w:rFonts w:eastAsia="Times New Roman" w:cs="Times New Roman"/>
          <w:sz w:val="28"/>
          <w:szCs w:val="24"/>
          <w:lang w:eastAsia="zh-CN"/>
        </w:rPr>
        <w:t xml:space="preserve">Численность обучающихся: в 2025 г. составила 914 чел. выпускников 33 </w:t>
      </w:r>
      <w:bookmarkStart w:id="0" w:name="_GoBack_Копия_2"/>
      <w:bookmarkEnd w:id="0"/>
      <w:r>
        <w:rPr>
          <w:rFonts w:eastAsia="Times New Roman" w:cs="Times New Roman"/>
          <w:sz w:val="28"/>
          <w:szCs w:val="24"/>
          <w:lang w:eastAsia="zh-CN"/>
        </w:rPr>
        <w:t>чел.</w:t>
      </w:r>
    </w:p>
    <w:p>
      <w:pPr>
        <w:pStyle w:val="Normal"/>
        <w:suppressAutoHyphens w:val="true"/>
        <w:spacing w:lineRule="auto" w:line="240" w:before="0" w:after="119"/>
        <w:ind w:firstLine="705"/>
        <w:contextualSpacing/>
        <w:jc w:val="both"/>
        <w:rPr>
          <w:rFonts w:ascii="Times New Roman" w:hAnsi="Times New Roman" w:eastAsia="Times New Roman" w:cs="Times New Roman"/>
          <w:sz w:val="28"/>
          <w:szCs w:val="24"/>
          <w:lang w:eastAsia="zh-CN"/>
        </w:rPr>
      </w:pPr>
      <w:r>
        <w:rPr>
          <w:rFonts w:eastAsia="Times New Roman" w:cs="Times New Roman"/>
          <w:sz w:val="28"/>
          <w:szCs w:val="24"/>
          <w:lang w:eastAsia="zh-CN"/>
        </w:rPr>
        <w:t>На итоговой аттестации в 2025 году все  выпускники получили аттестаты о среднем общем образовании, удельный вес лиц, сдавших ЕГЭ, составил 100% .</w:t>
      </w:r>
    </w:p>
    <w:p>
      <w:pPr>
        <w:pStyle w:val="Normal"/>
        <w:suppressAutoHyphens w:val="true"/>
        <w:spacing w:lineRule="auto" w:line="240" w:before="0" w:after="0"/>
        <w:ind w:firstLine="708"/>
        <w:contextualSpacing/>
        <w:jc w:val="both"/>
        <w:rPr>
          <w:rFonts w:ascii="Times New Roman" w:hAnsi="Times New Roman" w:eastAsia="Times New Roman" w:cs="Times New Roman"/>
          <w:sz w:val="28"/>
          <w:szCs w:val="24"/>
          <w:lang w:eastAsia="zh-CN"/>
        </w:rPr>
      </w:pPr>
      <w:r>
        <w:rPr>
          <w:rFonts w:eastAsia="Times New Roman" w:cs="Times New Roman"/>
          <w:sz w:val="28"/>
          <w:szCs w:val="24"/>
          <w:lang w:eastAsia="zh-CN"/>
        </w:rPr>
        <w:t>Доля муниципальных образовательных учреждений, переведенных на нормативно — подушевое финансирование и на новую систему оплаты труда, составляет 100%.</w:t>
      </w:r>
    </w:p>
    <w:p>
      <w:pPr>
        <w:pStyle w:val="Normal"/>
        <w:suppressAutoHyphens w:val="true"/>
        <w:spacing w:lineRule="auto" w:line="240" w:before="0" w:after="0"/>
        <w:ind w:firstLine="567"/>
        <w:jc w:val="both"/>
        <w:rPr>
          <w:rFonts w:ascii="Times New Roman" w:hAnsi="Times New Roman" w:eastAsia="Times New Roman" w:cs="Times New Roman"/>
          <w:sz w:val="28"/>
          <w:szCs w:val="28"/>
          <w:lang w:eastAsia="zh-CN"/>
        </w:rPr>
      </w:pPr>
      <w:r>
        <w:rPr>
          <w:rFonts w:eastAsia="Times New Roman" w:cs="Times New Roman"/>
          <w:b/>
          <w:iCs/>
          <w:sz w:val="28"/>
          <w:szCs w:val="28"/>
          <w:lang w:eastAsia="zh-CN"/>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r>
        <w:rPr>
          <w:rFonts w:eastAsia="Times New Roman" w:cs="Times New Roman"/>
          <w:i/>
          <w:iCs/>
          <w:sz w:val="28"/>
          <w:szCs w:val="28"/>
          <w:lang w:eastAsia="zh-CN"/>
        </w:rPr>
        <w:t xml:space="preserve"> </w:t>
      </w:r>
      <w:r>
        <w:rPr>
          <w:rFonts w:eastAsia="Times New Roman" w:cs="Times New Roman"/>
          <w:sz w:val="28"/>
          <w:szCs w:val="28"/>
          <w:lang w:eastAsia="zh-CN"/>
        </w:rPr>
        <w:t>составила за 2025 год 60%.</w:t>
      </w:r>
    </w:p>
    <w:p>
      <w:pPr>
        <w:pStyle w:val="Normal"/>
        <w:suppressAutoHyphens w:val="true"/>
        <w:spacing w:lineRule="auto" w:line="240" w:before="0" w:after="0"/>
        <w:ind w:firstLine="567"/>
        <w:jc w:val="both"/>
        <w:rPr>
          <w:sz w:val="28"/>
          <w:szCs w:val="28"/>
        </w:rPr>
      </w:pPr>
      <w:r>
        <w:rPr>
          <w:rFonts w:eastAsia="Times New Roman" w:cs="Times New Roman"/>
          <w:sz w:val="28"/>
          <w:szCs w:val="28"/>
          <w:lang w:eastAsia="zh-CN"/>
        </w:rPr>
        <w:t>Увеличение процента происходит благодаря централизованной поставке  оборудования, обновлению книжного фонда. В соответствии с требованиями современного законодательства, перспективный показатель и в дальнейшем будет соответствовать 100%.</w:t>
      </w:r>
    </w:p>
    <w:p>
      <w:pPr>
        <w:pStyle w:val="Normal"/>
        <w:suppressAutoHyphens w:val="true"/>
        <w:spacing w:lineRule="auto" w:line="240" w:before="0" w:after="119"/>
        <w:ind w:firstLine="567"/>
        <w:contextualSpacing/>
        <w:jc w:val="both"/>
        <w:rPr>
          <w:rFonts w:ascii="Times New Roman" w:hAnsi="Times New Roman" w:eastAsia="Times New Roman" w:cs="Times New Roman"/>
          <w:sz w:val="28"/>
          <w:szCs w:val="24"/>
          <w:lang w:eastAsia="zh-CN"/>
        </w:rPr>
      </w:pPr>
      <w:r>
        <w:rPr>
          <w:rFonts w:eastAsia="Times New Roman" w:cs="Times New Roman"/>
          <w:sz w:val="28"/>
          <w:szCs w:val="24"/>
          <w:lang w:eastAsia="zh-CN"/>
        </w:rPr>
        <w:t>Расходы бюджета муниципального образования на общее образование одного обучающегося в ОО с каждым годом  увеличиваются в связи с ростом заработной платы педагогических работников и  увеличением стоимости приобретаемых материальных запасов.</w:t>
      </w:r>
    </w:p>
    <w:p>
      <w:pPr>
        <w:pStyle w:val="Normal"/>
        <w:suppressAutoHyphens w:val="true"/>
        <w:spacing w:lineRule="auto" w:line="240" w:before="0" w:after="119"/>
        <w:ind w:firstLine="720"/>
        <w:contextualSpacing/>
        <w:jc w:val="both"/>
        <w:rPr>
          <w:rFonts w:ascii="Times New Roman" w:hAnsi="Times New Roman" w:eastAsia="Times New Roman" w:cs="Times New Roman"/>
          <w:sz w:val="24"/>
          <w:szCs w:val="24"/>
          <w:lang w:eastAsia="zh-CN"/>
        </w:rPr>
      </w:pPr>
      <w:r>
        <w:rPr>
          <w:rFonts w:eastAsia="Times New Roman" w:cs="Times New Roman"/>
          <w:sz w:val="28"/>
          <w:szCs w:val="24"/>
          <w:lang w:eastAsia="zh-CN"/>
        </w:rPr>
        <w:t xml:space="preserve">Число детей, посещающих ОО дополнительного образования в 2025 году составило75,9%. </w:t>
      </w:r>
    </w:p>
    <w:p>
      <w:pPr>
        <w:pStyle w:val="Normal"/>
        <w:suppressAutoHyphens w:val="true"/>
        <w:spacing w:lineRule="auto" w:line="240" w:before="0" w:after="120"/>
        <w:ind w:firstLine="708"/>
        <w:jc w:val="both"/>
        <w:rPr>
          <w:rFonts w:ascii="Times New Roman" w:hAnsi="Times New Roman" w:eastAsia="Times New Roman" w:cs="Times New Roman"/>
          <w:sz w:val="24"/>
          <w:szCs w:val="24"/>
          <w:lang w:eastAsia="zh-CN"/>
        </w:rPr>
      </w:pPr>
      <w:r>
        <w:rPr>
          <w:rFonts w:eastAsia="Times New Roman" w:cs="Times New Roman"/>
          <w:b/>
          <w:iCs/>
          <w:sz w:val="28"/>
          <w:szCs w:val="28"/>
          <w:lang w:eastAsia="zh-CN"/>
        </w:rPr>
        <w:t>Муниципальные общеобразовательные учреждения, здания которых находятся в аварийном состоянии или требуют капитального ремонта  в муниципальном округе</w:t>
      </w:r>
      <w:r>
        <w:rPr>
          <w:rFonts w:eastAsia="Times New Roman" w:cs="Times New Roman"/>
          <w:i/>
          <w:iCs/>
          <w:sz w:val="28"/>
          <w:szCs w:val="28"/>
          <w:lang w:eastAsia="zh-CN"/>
        </w:rPr>
        <w:t xml:space="preserve"> </w:t>
      </w:r>
      <w:r>
        <w:rPr>
          <w:rFonts w:eastAsia="Times New Roman" w:cs="Times New Roman"/>
          <w:sz w:val="28"/>
          <w:szCs w:val="28"/>
          <w:lang w:eastAsia="zh-CN"/>
        </w:rPr>
        <w:t>составила за 2025 год 40%, в прогнозном периоде до 2027 года  тенденция сохранится,  в образовательных учреждениях по мере необходимости проводятся текущие ремонты.</w:t>
      </w:r>
    </w:p>
    <w:p>
      <w:pPr>
        <w:pStyle w:val="Normal"/>
        <w:suppressAutoHyphens w:val="true"/>
        <w:spacing w:lineRule="auto" w:line="240" w:before="0" w:after="0"/>
        <w:ind w:firstLine="567"/>
        <w:jc w:val="both"/>
        <w:rPr>
          <w:rFonts w:ascii="Times New Roman" w:hAnsi="Times New Roman" w:eastAsia="Times New Roman" w:cs="Times New Roman"/>
          <w:sz w:val="28"/>
          <w:szCs w:val="28"/>
          <w:lang w:eastAsia="zh-CN"/>
        </w:rPr>
      </w:pPr>
      <w:r>
        <w:rPr>
          <w:rFonts w:eastAsia="Times New Roman" w:cs="Times New Roman"/>
          <w:b/>
          <w:iCs/>
          <w:sz w:val="28"/>
          <w:szCs w:val="28"/>
          <w:lang w:eastAsia="zh-CN"/>
        </w:rPr>
        <w:t>Доля детей первой и второй групп здоровья в общей численности обучающихся в муниципальных общеобразовательных учреждениях</w:t>
      </w:r>
      <w:r>
        <w:rPr>
          <w:rFonts w:eastAsia="Times New Roman" w:cs="Times New Roman"/>
          <w:sz w:val="28"/>
          <w:szCs w:val="28"/>
          <w:lang w:eastAsia="zh-CN"/>
        </w:rPr>
        <w:t xml:space="preserve"> составила по району за  отчетный год 85,7 %. В 2025  году доля детей первой и второй групп здоровья в общей численности обучающихся в муниципальных общеобразовательных учреждениях  осталась на уровне 2021 года за счет продолжающихся работ по улучшению качества диспансеризации детей школьного возраста, проведения плановых профилактических мероприятий, выявления детей с хронической патологией, своевременной диагностикой и лечением. В перспективе на 2026-2028 годы предусматривается проведение углубленной диспансеризации детей школьного возраста.</w:t>
      </w:r>
    </w:p>
    <w:p>
      <w:pPr>
        <w:pStyle w:val="Normal"/>
        <w:suppressAutoHyphens w:val="true"/>
        <w:spacing w:lineRule="auto" w:line="240" w:before="0" w:after="0"/>
        <w:ind w:firstLine="567"/>
        <w:jc w:val="both"/>
        <w:rPr>
          <w:rFonts w:ascii="Times New Roman" w:hAnsi="Times New Roman" w:eastAsia="Times New Roman" w:cs="Times New Roman"/>
          <w:b/>
          <w:bCs/>
          <w:iCs/>
          <w:sz w:val="28"/>
          <w:szCs w:val="28"/>
          <w:lang w:eastAsia="zh-CN"/>
        </w:rPr>
      </w:pPr>
      <w:r>
        <w:rPr>
          <w:rFonts w:eastAsia="Times New Roman" w:cs="Times New Roman"/>
          <w:b/>
          <w:iCs/>
          <w:sz w:val="28"/>
          <w:szCs w:val="28"/>
          <w:lang w:eastAsia="zh-CN"/>
        </w:rPr>
        <w:t>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w:t>
      </w:r>
      <w:r>
        <w:rPr>
          <w:rFonts w:eastAsia="Times New Roman" w:cs="Times New Roman"/>
          <w:b/>
          <w:bCs/>
          <w:iCs/>
          <w:sz w:val="28"/>
          <w:szCs w:val="28"/>
          <w:lang w:eastAsia="zh-CN"/>
        </w:rPr>
        <w:t>.</w:t>
      </w:r>
    </w:p>
    <w:p>
      <w:pPr>
        <w:pStyle w:val="Normal"/>
        <w:suppressAutoHyphens w:val="true"/>
        <w:spacing w:lineRule="auto" w:line="240" w:before="0" w:after="0"/>
        <w:ind w:firstLine="567"/>
        <w:jc w:val="both"/>
        <w:rPr>
          <w:rFonts w:ascii="Times New Roman" w:hAnsi="Times New Roman" w:eastAsia="Times New Roman" w:cs="Times New Roman"/>
          <w:sz w:val="28"/>
          <w:szCs w:val="28"/>
          <w:lang w:eastAsia="zh-CN"/>
        </w:rPr>
      </w:pPr>
      <w:r>
        <w:rPr>
          <w:rFonts w:eastAsia="Times New Roman" w:cs="Times New Roman"/>
          <w:sz w:val="28"/>
          <w:szCs w:val="28"/>
          <w:lang w:eastAsia="zh-CN"/>
        </w:rPr>
        <w:t>Занятия во вторую смену не предусмотрены. Фактический показатель равен нулю также и планируемый показатель будет  равен нулю.</w:t>
      </w:r>
    </w:p>
    <w:p>
      <w:pPr>
        <w:pStyle w:val="Normal"/>
        <w:suppressAutoHyphens w:val="true"/>
        <w:spacing w:lineRule="auto" w:line="240" w:before="0" w:after="0"/>
        <w:ind w:firstLine="567"/>
        <w:jc w:val="both"/>
        <w:rPr>
          <w:rFonts w:ascii="Times New Roman" w:hAnsi="Times New Roman" w:eastAsia="Times New Roman" w:cs="Times New Roman"/>
          <w:sz w:val="28"/>
          <w:szCs w:val="28"/>
          <w:lang w:eastAsia="zh-CN"/>
        </w:rPr>
      </w:pPr>
      <w:r>
        <w:rPr>
          <w:rFonts w:eastAsia="Times New Roman" w:cs="Times New Roman"/>
          <w:b/>
          <w:iCs/>
          <w:sz w:val="28"/>
          <w:szCs w:val="28"/>
          <w:lang w:eastAsia="zh-CN"/>
        </w:rPr>
        <w:t>Расходы бюджета муниципального образования на общее образование в расчете на 1 обучающегося в муниципальных общеобразовательных учреждениях</w:t>
      </w:r>
      <w:r>
        <w:rPr>
          <w:rFonts w:eastAsia="Times New Roman" w:cs="Times New Roman"/>
          <w:sz w:val="28"/>
          <w:szCs w:val="28"/>
          <w:lang w:eastAsia="zh-CN"/>
        </w:rPr>
        <w:t xml:space="preserve"> составили в 2025 году 58,4 тыс. рублей, что на 19,6 % выше уровня 2024 года. </w:t>
      </w:r>
    </w:p>
    <w:p>
      <w:pPr>
        <w:pStyle w:val="Normal"/>
        <w:suppressAutoHyphens w:val="true"/>
        <w:spacing w:lineRule="auto" w:line="240" w:before="0" w:after="0"/>
        <w:ind w:firstLine="567"/>
        <w:jc w:val="both"/>
        <w:rPr>
          <w:rFonts w:ascii="Times New Roman" w:hAnsi="Times New Roman" w:eastAsia="Times New Roman" w:cs="Times New Roman"/>
          <w:sz w:val="28"/>
          <w:szCs w:val="28"/>
          <w:lang w:eastAsia="zh-CN"/>
        </w:rPr>
      </w:pPr>
      <w:r>
        <w:rPr>
          <w:rFonts w:eastAsia="Times New Roman" w:cs="Times New Roman"/>
          <w:sz w:val="28"/>
          <w:szCs w:val="28"/>
          <w:lang w:eastAsia="zh-CN"/>
        </w:rPr>
        <w:t>Рост значения показателя в перспективе  связан с увеличением объемов средств на обновление материально-технической базы школ и, в незначительной части, из-за уменьшения числа учеников.</w:t>
      </w:r>
    </w:p>
    <w:p>
      <w:pPr>
        <w:pStyle w:val="Normal"/>
        <w:suppressAutoHyphens w:val="true"/>
        <w:spacing w:lineRule="auto" w:line="240" w:before="0" w:after="0"/>
        <w:ind w:firstLine="567"/>
        <w:jc w:val="both"/>
        <w:rPr>
          <w:rFonts w:ascii="Times New Roman" w:hAnsi="Times New Roman" w:eastAsia="Times New Roman" w:cs="Times New Roman"/>
          <w:b/>
          <w:bCs/>
          <w:sz w:val="28"/>
          <w:szCs w:val="28"/>
          <w:lang w:eastAsia="zh-CN"/>
        </w:rPr>
      </w:pPr>
      <w:r>
        <w:rPr>
          <w:rFonts w:eastAsia="Times New Roman" w:cs="Times New Roman"/>
          <w:b/>
          <w:iCs/>
          <w:sz w:val="28"/>
          <w:szCs w:val="28"/>
          <w:lang w:eastAsia="zh-CN"/>
        </w:rPr>
        <w:t>Доля детей в возрасте 5-18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p>
      <w:pPr>
        <w:pStyle w:val="Normal"/>
        <w:suppressAutoHyphens w:val="true"/>
        <w:spacing w:lineRule="auto" w:line="240" w:before="0" w:after="120"/>
        <w:jc w:val="both"/>
        <w:rPr>
          <w:rFonts w:ascii="Times New Roman" w:hAnsi="Times New Roman" w:eastAsia="Times New Roman" w:cs="Times New Roman"/>
          <w:b/>
          <w:sz w:val="24"/>
          <w:szCs w:val="24"/>
          <w:lang w:eastAsia="zh-CN"/>
        </w:rPr>
      </w:pPr>
      <w:r>
        <w:rPr>
          <w:rFonts w:eastAsia="Times New Roman" w:cs="Times New Roman"/>
          <w:sz w:val="28"/>
          <w:szCs w:val="28"/>
          <w:lang w:eastAsia="zh-CN"/>
        </w:rPr>
        <w:t>составила в 2025 году 75,99%. Значение показателя варьирует в зависимости от  численности детей в возрасте от 5 до 18 лет. В прогнозном периоде данный показатель предполагается в размере 88,7%.</w:t>
      </w:r>
    </w:p>
    <w:p>
      <w:pPr>
        <w:pStyle w:val="Normal"/>
        <w:suppressAutoHyphens w:val="true"/>
        <w:spacing w:lineRule="auto" w:line="240" w:before="0" w:after="0"/>
        <w:ind w:firstLine="567"/>
        <w:jc w:val="both"/>
        <w:rPr>
          <w:rFonts w:ascii="Times New Roman" w:hAnsi="Times New Roman" w:eastAsia="Times New Roman" w:cs="Times New Roman"/>
          <w:b/>
          <w:bCs/>
          <w:sz w:val="28"/>
          <w:szCs w:val="28"/>
          <w:lang w:eastAsia="zh-CN"/>
        </w:rPr>
      </w:pPr>
      <w:r>
        <w:rPr>
          <w:rFonts w:eastAsia="Times New Roman" w:cs="Times New Roman"/>
          <w:b/>
          <w:bCs/>
          <w:sz w:val="28"/>
          <w:szCs w:val="28"/>
          <w:lang w:eastAsia="zh-CN"/>
        </w:rPr>
      </w:r>
    </w:p>
    <w:p>
      <w:pPr>
        <w:pStyle w:val="BodyText"/>
        <w:jc w:val="both"/>
        <w:rPr>
          <w:b/>
          <w:sz w:val="28"/>
          <w:szCs w:val="28"/>
        </w:rPr>
      </w:pPr>
      <w:r>
        <w:rPr>
          <w:b/>
          <w:sz w:val="28"/>
          <w:szCs w:val="28"/>
        </w:rPr>
        <w:t>Культура</w:t>
      </w:r>
    </w:p>
    <w:p>
      <w:pPr>
        <w:pStyle w:val="Normal"/>
        <w:ind w:firstLine="142" w:left="-142"/>
        <w:jc w:val="both"/>
        <w:rPr>
          <w:sz w:val="28"/>
          <w:szCs w:val="28"/>
        </w:rPr>
      </w:pPr>
      <w:r>
        <w:rPr>
          <w:sz w:val="28"/>
          <w:szCs w:val="28"/>
        </w:rPr>
        <w:t xml:space="preserve">     </w:t>
      </w:r>
    </w:p>
    <w:p>
      <w:pPr>
        <w:pStyle w:val="Style51"/>
        <w:widowControl/>
        <w:spacing w:lineRule="auto" w:line="240"/>
        <w:ind w:firstLine="720" w:right="0"/>
        <w:jc w:val="both"/>
        <w:rPr/>
      </w:pPr>
      <w:r>
        <w:rPr>
          <w:rStyle w:val="FontStyle31"/>
          <w:sz w:val="28"/>
          <w:szCs w:val="28"/>
        </w:rPr>
        <w:t xml:space="preserve">Одним из действенных механизмов реализации культурной политики являются районные ведомственные целевые программы. Разработана муниципальная программа «Развитие культуры в муниципальном образовании «Демидовский муниципальный округ» Смоленской области», утвержденная Постановлением Администрации муниципального образования «Демидовский муниципальный округ» Смоленской области от 08.11.2013 № 568. В эту программу входят подпрограммы: </w:t>
      </w:r>
    </w:p>
    <w:p>
      <w:pPr>
        <w:pStyle w:val="Style51"/>
        <w:widowControl/>
        <w:spacing w:lineRule="auto" w:line="240"/>
        <w:ind w:firstLine="720" w:right="0"/>
        <w:jc w:val="both"/>
        <w:rPr/>
      </w:pPr>
      <w:r>
        <w:rPr>
          <w:rStyle w:val="FontStyle31"/>
          <w:sz w:val="28"/>
          <w:szCs w:val="28"/>
        </w:rPr>
        <w:t>«Музейное обслуживание на территории муниципального образования «Демидовский муниципальный округ» Смоленской области»;</w:t>
      </w:r>
    </w:p>
    <w:p>
      <w:pPr>
        <w:pStyle w:val="Style51"/>
        <w:widowControl/>
        <w:spacing w:lineRule="auto" w:line="240"/>
        <w:ind w:firstLine="720" w:right="0"/>
        <w:jc w:val="both"/>
        <w:rPr/>
      </w:pPr>
      <w:r>
        <w:rPr>
          <w:rStyle w:val="FontStyle31"/>
          <w:sz w:val="28"/>
          <w:szCs w:val="28"/>
        </w:rPr>
        <w:t>«Предоставление дополнительного образования детям в области культуры и искусства на территории муниципального образования «Демидовский муниципальный округ» Смоленской области»;</w:t>
      </w:r>
    </w:p>
    <w:p>
      <w:pPr>
        <w:pStyle w:val="Style51"/>
        <w:widowControl/>
        <w:spacing w:lineRule="auto" w:line="240"/>
        <w:ind w:firstLine="720" w:right="0"/>
        <w:jc w:val="both"/>
        <w:rPr/>
      </w:pPr>
      <w:r>
        <w:rPr>
          <w:rStyle w:val="FontStyle31"/>
          <w:sz w:val="28"/>
          <w:szCs w:val="28"/>
        </w:rPr>
        <w:t>«Организация библиотечного обслуживания населения на территории муниципального образования «Демидовский муниципальный округ» Смоленской области»;</w:t>
      </w:r>
    </w:p>
    <w:p>
      <w:pPr>
        <w:pStyle w:val="Style51"/>
        <w:widowControl/>
        <w:spacing w:lineRule="auto" w:line="240"/>
        <w:ind w:firstLine="720" w:right="0"/>
        <w:jc w:val="both"/>
        <w:rPr/>
      </w:pPr>
      <w:r>
        <w:rPr>
          <w:rStyle w:val="FontStyle31"/>
          <w:sz w:val="28"/>
          <w:szCs w:val="28"/>
        </w:rPr>
        <w:t>«Организация культурно-досугового обслуживания населения на территории муниципального образования «Демидовский муниципальный округ» Смоленской области»;</w:t>
      </w:r>
    </w:p>
    <w:p>
      <w:pPr>
        <w:pStyle w:val="Style51"/>
        <w:widowControl/>
        <w:spacing w:lineRule="auto" w:line="240"/>
        <w:ind w:firstLine="720" w:right="0"/>
        <w:jc w:val="both"/>
        <w:rPr/>
      </w:pPr>
      <w:r>
        <w:rPr>
          <w:rStyle w:val="FontStyle31"/>
          <w:sz w:val="28"/>
          <w:szCs w:val="28"/>
        </w:rPr>
        <w:t>«Организация деятельности муниципального казенного учреждения «Централизованная бухгалтерия учреждений культуры» «Демидовский муниципальный округ» Смоленской области»;</w:t>
      </w:r>
    </w:p>
    <w:p>
      <w:pPr>
        <w:pStyle w:val="Style51"/>
        <w:widowControl/>
        <w:spacing w:lineRule="auto" w:line="240"/>
        <w:ind w:firstLine="720" w:right="0"/>
        <w:jc w:val="both"/>
        <w:rPr/>
      </w:pPr>
      <w:r>
        <w:rPr>
          <w:rStyle w:val="FontStyle31"/>
          <w:sz w:val="28"/>
          <w:szCs w:val="28"/>
        </w:rPr>
        <w:t>«Развитие внутреннего и въездного туризма в муниципальном образовании «Демидовский муниципальный округ» Смоленской области»;</w:t>
      </w:r>
    </w:p>
    <w:p>
      <w:pPr>
        <w:pStyle w:val="Style51"/>
        <w:widowControl/>
        <w:spacing w:lineRule="auto" w:line="240"/>
        <w:ind w:firstLine="720" w:right="0"/>
        <w:jc w:val="both"/>
        <w:rPr/>
      </w:pPr>
      <w:r>
        <w:rPr>
          <w:rStyle w:val="FontStyle31"/>
          <w:sz w:val="28"/>
          <w:szCs w:val="28"/>
        </w:rPr>
        <w:t>«Обеспечение деятельности учреждений отдела по культуре Администрации муниципального образования «Демидовский муниципальный округ» Смоленской области».</w:t>
      </w:r>
    </w:p>
    <w:p>
      <w:pPr>
        <w:pStyle w:val="Style51"/>
        <w:widowControl/>
        <w:spacing w:lineRule="auto" w:line="240"/>
        <w:ind w:firstLine="720" w:right="0"/>
        <w:jc w:val="both"/>
        <w:rPr>
          <w:rStyle w:val="FontStyle31"/>
          <w:sz w:val="28"/>
          <w:szCs w:val="28"/>
        </w:rPr>
      </w:pPr>
      <w:r>
        <w:rPr>
          <w:sz w:val="28"/>
          <w:szCs w:val="28"/>
        </w:rPr>
      </w:r>
    </w:p>
    <w:p>
      <w:pPr>
        <w:pStyle w:val="Normal"/>
        <w:ind w:firstLine="709" w:left="-142" w:right="0"/>
        <w:jc w:val="center"/>
        <w:rPr/>
      </w:pPr>
      <w:r>
        <w:rPr>
          <w:b/>
          <w:sz w:val="28"/>
          <w:szCs w:val="28"/>
          <w:u w:val="single"/>
        </w:rPr>
        <w:t xml:space="preserve">Муниципальное бюджетное учреждение культуры «Централизованная клубная система» муниципального образования «Демидовский муниципальный округ» Смоленской области </w:t>
      </w:r>
      <w:r>
        <w:rPr>
          <w:b/>
          <w:color w:val="000000"/>
          <w:sz w:val="28"/>
          <w:szCs w:val="28"/>
          <w:u w:val="single"/>
        </w:rPr>
        <w:t>- это 13 культурно-досуговых учреждений</w:t>
      </w:r>
      <w:r>
        <w:rPr>
          <w:rStyle w:val="Emphasis"/>
          <w:b/>
          <w:color w:val="000000"/>
          <w:sz w:val="28"/>
          <w:szCs w:val="28"/>
          <w:u w:val="single"/>
        </w:rPr>
        <w:t xml:space="preserve"> </w:t>
      </w:r>
      <w:r>
        <w:rPr>
          <w:rStyle w:val="Emphasis"/>
          <w:b/>
          <w:i w:val="false"/>
          <w:color w:val="000000"/>
          <w:sz w:val="28"/>
          <w:szCs w:val="28"/>
          <w:u w:val="single"/>
        </w:rPr>
        <w:t>(2 городских Дома культуры и 11 сельских)</w:t>
      </w:r>
    </w:p>
    <w:p>
      <w:pPr>
        <w:pStyle w:val="Normal"/>
        <w:ind w:firstLine="709" w:left="-142" w:right="0"/>
        <w:jc w:val="center"/>
        <w:rPr>
          <w:rStyle w:val="Emphasis"/>
          <w:b/>
          <w:i w:val="false"/>
          <w:color w:val="000000"/>
          <w:sz w:val="28"/>
          <w:szCs w:val="28"/>
          <w:u w:val="single"/>
        </w:rPr>
      </w:pPr>
      <w:r>
        <w:rPr>
          <w:b/>
          <w:i w:val="false"/>
          <w:color w:val="000000"/>
          <w:sz w:val="28"/>
          <w:szCs w:val="28"/>
          <w:u w:val="single"/>
        </w:rPr>
      </w:r>
    </w:p>
    <w:p>
      <w:pPr>
        <w:pStyle w:val="Normal"/>
        <w:ind w:firstLine="142" w:left="-142" w:right="0"/>
        <w:jc w:val="both"/>
        <w:rPr/>
      </w:pPr>
      <w:r>
        <w:rPr>
          <w:sz w:val="28"/>
          <w:szCs w:val="28"/>
        </w:rPr>
        <w:t xml:space="preserve">       </w:t>
      </w:r>
      <w:r>
        <w:rPr>
          <w:sz w:val="28"/>
          <w:szCs w:val="28"/>
        </w:rPr>
        <w:t>Основная цель работы учреждений культуры   – удовлетворение духовных потребностей и культурных запросов населения, создание условий для развития творческой инициативы и организации отдыха людей, проживающих на об</w:t>
      </w:r>
      <w:r>
        <w:rPr>
          <w:sz w:val="28"/>
          <w:szCs w:val="28"/>
        </w:rPr>
        <w:t>служиваемой территории. Работа проводилась в соответствии с годовым планом работы, планом областных мероприятий, планами работы на месяц.</w:t>
      </w:r>
    </w:p>
    <w:p>
      <w:pPr>
        <w:pStyle w:val="Normal"/>
        <w:ind w:firstLine="142" w:left="-142" w:right="0"/>
        <w:jc w:val="both"/>
        <w:rPr>
          <w:rFonts w:ascii="Times New Roman" w:hAnsi="Times New Roman"/>
          <w:sz w:val="28"/>
          <w:szCs w:val="28"/>
        </w:rPr>
      </w:pPr>
      <w:r>
        <w:rPr>
          <w:sz w:val="28"/>
          <w:szCs w:val="28"/>
        </w:rPr>
        <w:t xml:space="preserve">        </w:t>
      </w:r>
      <w:r>
        <w:rPr>
          <w:sz w:val="28"/>
          <w:szCs w:val="28"/>
        </w:rPr>
        <w:t xml:space="preserve">В 2025 году в учреждениях культуры района  работало </w:t>
      </w:r>
      <w:r>
        <w:rPr>
          <w:b/>
          <w:sz w:val="28"/>
          <w:szCs w:val="28"/>
          <w:u w:val="single"/>
        </w:rPr>
        <w:t>132</w:t>
      </w:r>
      <w:r>
        <w:rPr>
          <w:sz w:val="28"/>
          <w:szCs w:val="28"/>
        </w:rPr>
        <w:t xml:space="preserve"> клубных формирования. Было проведено </w:t>
      </w:r>
      <w:r>
        <w:rPr>
          <w:b/>
          <w:sz w:val="28"/>
          <w:szCs w:val="28"/>
          <w:u w:val="single"/>
        </w:rPr>
        <w:t>1970</w:t>
      </w:r>
      <w:r>
        <w:rPr>
          <w:b/>
          <w:sz w:val="28"/>
          <w:szCs w:val="28"/>
        </w:rPr>
        <w:t xml:space="preserve"> </w:t>
      </w:r>
      <w:r>
        <w:rPr>
          <w:sz w:val="28"/>
          <w:szCs w:val="28"/>
        </w:rPr>
        <w:t xml:space="preserve">мероприятий, которые  посетили </w:t>
      </w:r>
      <w:r>
        <w:rPr>
          <w:b/>
          <w:sz w:val="28"/>
          <w:szCs w:val="28"/>
          <w:u w:val="single"/>
        </w:rPr>
        <w:t xml:space="preserve">226240 </w:t>
      </w:r>
      <w:r>
        <w:rPr>
          <w:sz w:val="28"/>
          <w:szCs w:val="28"/>
        </w:rPr>
        <w:t>человек.</w:t>
      </w:r>
    </w:p>
    <w:p>
      <w:pPr>
        <w:pStyle w:val="Normal"/>
        <w:tabs>
          <w:tab w:val="clear" w:pos="708"/>
          <w:tab w:val="left" w:pos="0" w:leader="none"/>
        </w:tabs>
        <w:ind w:hanging="284" w:right="141"/>
        <w:jc w:val="both"/>
        <w:rPr>
          <w:rFonts w:ascii="Times New Roman" w:hAnsi="Times New Roman"/>
          <w:sz w:val="28"/>
          <w:szCs w:val="28"/>
        </w:rPr>
      </w:pPr>
      <w:r>
        <w:rPr>
          <w:rFonts w:eastAsia="Calibri"/>
          <w:color w:val="000000"/>
          <w:sz w:val="28"/>
          <w:szCs w:val="28"/>
          <w:lang w:eastAsia="en-US"/>
        </w:rPr>
        <w:t xml:space="preserve">            </w:t>
      </w:r>
      <w:r>
        <w:rPr>
          <w:rFonts w:eastAsia="Calibri"/>
          <w:color w:val="000000"/>
          <w:sz w:val="28"/>
          <w:szCs w:val="28"/>
          <w:lang w:eastAsia="en-US"/>
        </w:rPr>
        <w:t xml:space="preserve">Все свои мероприятия работники учреждений культуры размещают  в группе </w:t>
      </w:r>
      <w:r>
        <w:rPr>
          <w:rFonts w:eastAsia="Calibri"/>
          <w:b/>
          <w:color w:val="000000"/>
          <w:sz w:val="28"/>
          <w:szCs w:val="28"/>
          <w:u w:val="single"/>
          <w:lang w:eastAsia="en-US"/>
        </w:rPr>
        <w:t>«ВКонтакт», «Одноклассники»</w:t>
      </w:r>
      <w:r>
        <w:rPr>
          <w:rFonts w:eastAsia="Calibri"/>
          <w:color w:val="000000"/>
          <w:sz w:val="28"/>
          <w:szCs w:val="28"/>
          <w:lang w:eastAsia="en-US"/>
        </w:rPr>
        <w:t xml:space="preserve"> в сообществе «Демидовская Централизованная клубная система» и на сайте «Культура».</w:t>
      </w:r>
    </w:p>
    <w:p>
      <w:pPr>
        <w:pStyle w:val="Normal"/>
        <w:ind w:firstLine="567" w:right="0"/>
        <w:jc w:val="both"/>
        <w:rPr>
          <w:rFonts w:ascii="Times New Roman" w:hAnsi="Times New Roman" w:eastAsia="Calibri"/>
          <w:sz w:val="28"/>
          <w:szCs w:val="28"/>
          <w:lang w:eastAsia="en-US"/>
        </w:rPr>
      </w:pPr>
      <w:r>
        <w:rPr>
          <w:rFonts w:eastAsia="Calibri"/>
          <w:sz w:val="28"/>
          <w:szCs w:val="28"/>
          <w:lang w:eastAsia="en-US"/>
        </w:rPr>
        <w:t>Приоритетными направлениями деятельности учреждений культуры являются: патриотическое воспитание, возрождение и развитие традиционной народной культуры, работа с детьми, молодежью, семьей, ветеранами, инвалидами и пожилыми людьми.</w:t>
      </w:r>
    </w:p>
    <w:p>
      <w:pPr>
        <w:pStyle w:val="Normal"/>
        <w:jc w:val="both"/>
        <w:rPr>
          <w:rFonts w:ascii="Times New Roman" w:hAnsi="Times New Roman" w:eastAsia="Calibri"/>
          <w:sz w:val="28"/>
          <w:szCs w:val="28"/>
          <w:shd w:fill="FFFFFF" w:val="clear"/>
          <w:lang w:eastAsia="en-US"/>
        </w:rPr>
      </w:pPr>
      <w:r>
        <w:rPr>
          <w:rFonts w:eastAsia="Calibri"/>
          <w:sz w:val="28"/>
          <w:szCs w:val="28"/>
          <w:shd w:fill="FFFFFF" w:val="clear"/>
          <w:lang w:eastAsia="en-US"/>
        </w:rPr>
        <w:t xml:space="preserve">       </w:t>
      </w:r>
      <w:r>
        <w:rPr>
          <w:rFonts w:eastAsia="Calibri"/>
          <w:sz w:val="28"/>
          <w:szCs w:val="28"/>
          <w:shd w:fill="FFFFFF" w:val="clear"/>
          <w:lang w:eastAsia="en-US"/>
        </w:rPr>
        <w:t xml:space="preserve">В 2025 году творческие коллективы учреждений  культуры района  приняли участие в областных и  районных фестивалях и конкурсах. </w:t>
      </w:r>
    </w:p>
    <w:p>
      <w:pPr>
        <w:pStyle w:val="Normal"/>
        <w:widowControl/>
        <w:suppressAutoHyphens w:val="false"/>
        <w:jc w:val="both"/>
        <w:rPr>
          <w:rFonts w:ascii="Times New Roman" w:hAnsi="Times New Roman" w:eastAsia="Calibri"/>
          <w:sz w:val="28"/>
          <w:szCs w:val="28"/>
          <w:lang w:eastAsia="en-US"/>
        </w:rPr>
      </w:pPr>
      <w:r>
        <w:rPr>
          <w:rFonts w:eastAsia="Calibri"/>
          <w:sz w:val="28"/>
          <w:szCs w:val="28"/>
          <w:lang w:eastAsia="en-US"/>
        </w:rPr>
        <w:t xml:space="preserve"> </w:t>
      </w:r>
      <w:r>
        <w:rPr>
          <w:rFonts w:eastAsia="Calibri"/>
          <w:sz w:val="28"/>
          <w:szCs w:val="28"/>
          <w:lang w:eastAsia="en-US"/>
        </w:rPr>
        <w:t xml:space="preserve">Указом Президента 2025 год был объявлен Годом Защитника Отечества. </w:t>
      </w:r>
    </w:p>
    <w:p>
      <w:pPr>
        <w:pStyle w:val="Style27"/>
        <w:jc w:val="both"/>
        <w:rPr>
          <w:rFonts w:ascii="Times New Roman" w:hAnsi="Times New Roman"/>
          <w:sz w:val="28"/>
          <w:szCs w:val="28"/>
        </w:rPr>
      </w:pPr>
      <w:r>
        <w:rPr>
          <w:rFonts w:eastAsia="Calibri" w:cs="Times New Roman" w:ascii="Times New Roman" w:hAnsi="Times New Roman"/>
          <w:b/>
          <w:color w:val="000000"/>
          <w:sz w:val="28"/>
          <w:szCs w:val="28"/>
          <w:lang w:eastAsia="en-US"/>
        </w:rPr>
        <w:t xml:space="preserve">        </w:t>
      </w:r>
      <w:r>
        <w:rPr>
          <w:rFonts w:eastAsia="Calibri" w:cs="Times New Roman" w:ascii="Times New Roman" w:hAnsi="Times New Roman"/>
          <w:b/>
          <w:color w:val="000000"/>
          <w:sz w:val="28"/>
          <w:szCs w:val="28"/>
          <w:lang w:eastAsia="en-US"/>
        </w:rPr>
        <w:t>Одним из ярких событий</w:t>
      </w:r>
      <w:r>
        <w:rPr>
          <w:rFonts w:eastAsia="Calibri" w:cs="Times New Roman" w:ascii="Times New Roman" w:hAnsi="Times New Roman"/>
          <w:color w:val="000000"/>
          <w:sz w:val="28"/>
          <w:szCs w:val="28"/>
          <w:lang w:eastAsia="en-US"/>
        </w:rPr>
        <w:t xml:space="preserve"> стал праздничный вечер, посвященный Дню защитника Отечества и явивший собой официальное открытие Года защитника Отечества в Демидовском Доме культуре. На торжественном мероприятии</w:t>
      </w:r>
      <w:r>
        <w:rPr>
          <w:rFonts w:cs="Times New Roman" w:ascii="Times New Roman" w:hAnsi="Times New Roman"/>
          <w:sz w:val="28"/>
          <w:szCs w:val="28"/>
        </w:rPr>
        <w:t xml:space="preserve">   отметили благодарностями семьи участвующие и победившие в конкурсах «Молодая семья», «Сельская семья», в интернет  - конкурсе  «Семьи счастливые моменты».</w:t>
      </w:r>
      <w:r>
        <w:rPr>
          <w:rFonts w:cs="Times New Roman" w:ascii="Times New Roman" w:hAnsi="Times New Roman"/>
          <w:color w:val="000000"/>
          <w:sz w:val="28"/>
          <w:szCs w:val="28"/>
          <w:shd w:fill="FFFFFF" w:val="clear"/>
        </w:rPr>
        <w:t xml:space="preserve">  Также были  вручены  благодарности благотворительного фонда «Память поколений» за активное участие в акции «Красная гвоздика»  серебряным волонтерам Демидовского волонтерского штаба.</w:t>
      </w:r>
      <w:r>
        <w:rPr>
          <w:rFonts w:cs="Times New Roman" w:ascii="Times New Roman" w:hAnsi="Times New Roman"/>
          <w:color w:val="000000"/>
          <w:sz w:val="28"/>
          <w:szCs w:val="28"/>
        </w:rPr>
        <w:t xml:space="preserve"> </w:t>
      </w:r>
    </w:p>
    <w:p>
      <w:pPr>
        <w:pStyle w:val="Style27"/>
        <w:jc w:val="both"/>
        <w:rPr>
          <w:rFonts w:ascii="Times New Roman" w:hAnsi="Times New Roman"/>
          <w:sz w:val="28"/>
          <w:szCs w:val="28"/>
        </w:rPr>
      </w:pPr>
      <w:r>
        <w:rPr>
          <w:rFonts w:cs="Times New Roman" w:ascii="Times New Roman" w:hAnsi="Times New Roman"/>
          <w:color w:val="000000"/>
          <w:sz w:val="28"/>
          <w:szCs w:val="28"/>
        </w:rPr>
        <w:t xml:space="preserve">   </w:t>
      </w:r>
      <w:r>
        <w:rPr>
          <w:rFonts w:cs="Times New Roman" w:ascii="Times New Roman" w:hAnsi="Times New Roman"/>
          <w:b/>
          <w:sz w:val="28"/>
          <w:szCs w:val="28"/>
        </w:rPr>
        <w:t>К важным событиям культурной жизни</w:t>
      </w:r>
      <w:r>
        <w:rPr>
          <w:rFonts w:cs="Times New Roman" w:ascii="Times New Roman" w:hAnsi="Times New Roman"/>
          <w:sz w:val="28"/>
          <w:szCs w:val="28"/>
        </w:rPr>
        <w:t xml:space="preserve"> округа </w:t>
      </w:r>
      <w:r>
        <w:rPr>
          <w:rFonts w:cs="Times New Roman" w:ascii="Times New Roman" w:hAnsi="Times New Roman"/>
          <w:color w:val="000000"/>
          <w:sz w:val="28"/>
          <w:szCs w:val="28"/>
        </w:rPr>
        <w:t>стала премьера театрализованной постановки «Дорога жизни»,  которая состоялась 23 октября в Демидовском Доме культуры   и собрала полный зал зрителей. Эта трогательная история о подвиге трех смоленских девушек — Матрёны Вольской, Варвары Поляковой и Екатерины Громовой — не оставила никого равнодушным.</w:t>
      </w:r>
      <w:r>
        <w:rPr>
          <w:rFonts w:eastAsia="Calibri" w:cs="Times New Roman" w:ascii="Times New Roman" w:hAnsi="Times New Roman"/>
          <w:sz w:val="28"/>
          <w:szCs w:val="28"/>
        </w:rPr>
        <w:t xml:space="preserve">  </w:t>
      </w:r>
      <w:r>
        <w:rPr>
          <w:rFonts w:eastAsia="Calibri" w:cs="Times New Roman" w:ascii="Times New Roman" w:hAnsi="Times New Roman"/>
          <w:color w:val="000000"/>
          <w:sz w:val="28"/>
          <w:szCs w:val="28"/>
        </w:rPr>
        <w:t xml:space="preserve">    В День Героев Отечества в Демидовском Доме культуры прошло торжественное мероприятие «Достойные сыны Отечества», приуроченное сразу к трём значимым событиям: Дню Героев Отечества; закрытию Года Защитника Отечества и 80</w:t>
        <w:noBreakHyphen/>
        <w:t>летию Победы в Великой Отечественной войне.  В ходе мероприятия почтили память демидовцев, погибших при исполнении воинского долга. В зале звучали имена наших земляков — ветеранов боевых действий, чья отвага и самопожертвование навсегда останутся в сердцах горожан.  Завершилось мероприятие возложением цветов к мемориалу «Журавли» — символу вечной памяти о тех, кто защищал и защищает нашу страну. </w:t>
      </w:r>
    </w:p>
    <w:p>
      <w:pPr>
        <w:pStyle w:val="Style27"/>
        <w:jc w:val="both"/>
        <w:rPr>
          <w:rFonts w:ascii="Times New Roman" w:hAnsi="Times New Roman"/>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Ярким событием года стал</w:t>
      </w:r>
      <w:r>
        <w:rPr>
          <w:rFonts w:cs="Times New Roman" w:ascii="Times New Roman" w:hAnsi="Times New Roman"/>
          <w:sz w:val="28"/>
          <w:szCs w:val="28"/>
        </w:rPr>
        <w:t xml:space="preserve"> </w:t>
      </w:r>
      <w:r>
        <w:rPr>
          <w:rFonts w:cs="Times New Roman" w:ascii="Times New Roman" w:hAnsi="Times New Roman"/>
          <w:i/>
          <w:sz w:val="28"/>
          <w:szCs w:val="28"/>
        </w:rPr>
        <w:t xml:space="preserve"> </w:t>
      </w:r>
      <w:r>
        <w:rPr>
          <w:rFonts w:cs="Times New Roman" w:ascii="Times New Roman" w:hAnsi="Times New Roman"/>
          <w:sz w:val="28"/>
          <w:szCs w:val="28"/>
          <w:shd w:fill="FFFFFF" w:val="clear"/>
        </w:rPr>
        <w:t>XIV фестиваль юмора и циркового искусства им. Юрия Никулина. На одной сцене выступили яркие и талантливые коллективы из различных городов Смоленской области и Республики Беларусь.</w:t>
      </w:r>
    </w:p>
    <w:p>
      <w:pPr>
        <w:pStyle w:val="Normal"/>
        <w:jc w:val="both"/>
        <w:rPr>
          <w:rFonts w:ascii="Times New Roman" w:hAnsi="Times New Roman"/>
          <w:sz w:val="28"/>
          <w:szCs w:val="28"/>
        </w:rPr>
      </w:pPr>
      <w:r>
        <w:rPr>
          <w:rFonts w:eastAsia="Calibri"/>
          <w:sz w:val="28"/>
          <w:szCs w:val="28"/>
          <w:shd w:fill="FFFFFF" w:val="clear"/>
          <w:lang w:eastAsia="en-US"/>
        </w:rPr>
        <w:t xml:space="preserve">  </w:t>
      </w:r>
      <w:r>
        <w:rPr>
          <w:rFonts w:eastAsia="Calibri"/>
          <w:sz w:val="28"/>
          <w:szCs w:val="28"/>
          <w:shd w:fill="FFFFFF" w:val="clear"/>
          <w:lang w:eastAsia="en-US"/>
        </w:rPr>
        <w:t xml:space="preserve">Сохраняя духовность и национальную самобытность, неповторимость своего этноса в многонациональной семье народов России ежегодно в деревне Заборье проходит фольклорный праздник «Обряды русской старины»  по сохранению  традиций, обрядов и обычаев. </w:t>
      </w:r>
      <w:r>
        <w:rPr>
          <w:color w:val="000000"/>
          <w:sz w:val="28"/>
          <w:szCs w:val="28"/>
          <w:shd w:fill="F9F9F9" w:val="clear"/>
        </w:rPr>
        <w:t>Весёлые хороводы и народные танцы передавали настроение, как во времена наших бабушек и прабабушек. Театральные сцены напомнили зрителю об обрядах и традициях на праздниках в старину.</w:t>
      </w:r>
    </w:p>
    <w:p>
      <w:pPr>
        <w:pStyle w:val="Normal"/>
        <w:widowControl/>
        <w:suppressAutoHyphens w:val="false"/>
        <w:jc w:val="both"/>
        <w:rPr>
          <w:rFonts w:ascii="Times New Roman" w:hAnsi="Times New Roman"/>
          <w:sz w:val="28"/>
          <w:szCs w:val="28"/>
        </w:rPr>
      </w:pPr>
      <w:r>
        <w:rPr>
          <w:rFonts w:eastAsia="Calibri"/>
          <w:color w:val="000000"/>
          <w:sz w:val="28"/>
          <w:szCs w:val="28"/>
          <w:shd w:fill="FFFFFF" w:val="clear"/>
          <w:lang w:eastAsia="en-US"/>
        </w:rPr>
        <w:t xml:space="preserve">    </w:t>
      </w:r>
      <w:r>
        <w:rPr>
          <w:rFonts w:eastAsia="Calibri"/>
          <w:color w:val="000000"/>
          <w:sz w:val="28"/>
          <w:szCs w:val="28"/>
          <w:shd w:fill="FFFFFF" w:val="clear"/>
          <w:lang w:eastAsia="en-US"/>
        </w:rPr>
        <w:t xml:space="preserve">В апреле в Доме культуры  г. Демидова состоялся творческий вечер «Рассказывай тальяночка сама!», посвященный 35-летию народного ансамбля «Демидовские гармонисты». </w:t>
      </w:r>
    </w:p>
    <w:p>
      <w:pPr>
        <w:pStyle w:val="Style27"/>
        <w:ind w:firstLine="426" w:right="0"/>
        <w:jc w:val="both"/>
        <w:rPr>
          <w:rFonts w:ascii="Times New Roman" w:hAnsi="Times New Roman"/>
          <w:sz w:val="28"/>
          <w:szCs w:val="28"/>
        </w:rPr>
      </w:pPr>
      <w:r>
        <w:rPr>
          <w:rFonts w:cs="Times New Roman" w:ascii="Times New Roman" w:hAnsi="Times New Roman"/>
          <w:sz w:val="28"/>
          <w:szCs w:val="28"/>
        </w:rPr>
        <w:t xml:space="preserve">К важным событиям культурной жизни округа  следует отнести Межрегиональный праздник «Его Величество Огурец».  Праздник  собрал  гостей из многих российских областей и районов Смоленщины. С концертной программой выступили: ансамбль лирической песни «Луховичанка» из г. Луховицы Московской области, народный коллектив ансамбль русской песни «Сударушка» Сычёвского РДК, ансамбль песни «Маруся» и вокальный ансамбль "СмоРодина" МБУК "КЦ" Заднепровье. </w:t>
      </w:r>
    </w:p>
    <w:p>
      <w:pPr>
        <w:pStyle w:val="Normal"/>
        <w:ind w:firstLine="426" w:right="0"/>
        <w:jc w:val="both"/>
        <w:rPr>
          <w:rFonts w:ascii="Times New Roman" w:hAnsi="Times New Roman"/>
          <w:sz w:val="28"/>
          <w:szCs w:val="28"/>
        </w:rPr>
      </w:pPr>
      <w:r>
        <w:rPr>
          <w:rFonts w:cs="Times New Roman"/>
          <w:color w:val="000000"/>
          <w:sz w:val="28"/>
          <w:szCs w:val="28"/>
        </w:rPr>
        <w:t>В Демидовском Доме культуры состоялся праздничный концерт «В Единстве – наша сила!», в котором приняли участия творческий коллектив п.Лиозно Витебской области. Впервые на сцене Демидовского Дома культуры прошёл ретро фестиваль «Шансон». На сцене звучали песни солистов не только нашей области , но и из п. Усвяты Псковской области. В декабре на центральной площади состоялось открытие городской новогодней ёлки.15 Дедов Морозов, Снегурочек и сказочных персонажей развлекали гостей праздника</w:t>
      </w:r>
    </w:p>
    <w:p>
      <w:pPr>
        <w:pStyle w:val="Style27"/>
        <w:jc w:val="both"/>
        <w:rPr>
          <w:rFonts w:ascii="Times New Roman" w:hAnsi="Times New Roman"/>
          <w:sz w:val="28"/>
          <w:szCs w:val="28"/>
        </w:rPr>
      </w:pPr>
      <w:r>
        <w:rPr>
          <w:rFonts w:eastAsia="Calibri" w:cs="Times New Roman" w:ascii="Times New Roman" w:hAnsi="Times New Roman"/>
          <w:sz w:val="28"/>
          <w:szCs w:val="28"/>
          <w:lang w:eastAsia="en-US"/>
        </w:rPr>
        <w:t xml:space="preserve">Самый ожидаемый праздник в году — это день деревни </w:t>
      </w:r>
      <w:r>
        <w:rPr>
          <w:rFonts w:cs="Times New Roman" w:ascii="Times New Roman" w:hAnsi="Times New Roman"/>
          <w:sz w:val="28"/>
          <w:szCs w:val="28"/>
        </w:rPr>
        <w:t>«Нет отрадней для сердца земли».</w:t>
      </w:r>
      <w:r>
        <w:rPr>
          <w:rFonts w:eastAsia="Calibri" w:cs="Times New Roman" w:ascii="Times New Roman" w:hAnsi="Times New Roman"/>
          <w:sz w:val="28"/>
          <w:szCs w:val="28"/>
          <w:lang w:eastAsia="en-US"/>
        </w:rPr>
        <w:t xml:space="preserve"> Это торжество для всех жителей, но особенно значимый для тех, кто когда-то жил здесь или связан с этим местом семейными узами. Ведь каждый из нас вносит свой вклад в развитие родного края.</w:t>
      </w:r>
      <w:r>
        <w:rPr>
          <w:rFonts w:eastAsia="Calibri" w:cs="Times New Roman" w:ascii="Times New Roman" w:hAnsi="Times New Roman"/>
          <w:sz w:val="28"/>
          <w:szCs w:val="28"/>
          <w:shd w:fill="FFFFFF" w:val="clear"/>
          <w:lang w:eastAsia="en-US"/>
        </w:rPr>
        <w:t xml:space="preserve">     В рамках праздничного мероприятия «В Единстве – наша сила!»   была организована       выставка «Народных кукол хоровод», в ней приняли участие  все работники Домов культуры. </w:t>
      </w:r>
    </w:p>
    <w:p>
      <w:pPr>
        <w:pStyle w:val="Normal"/>
        <w:widowControl/>
        <w:suppressAutoHyphens w:val="false"/>
        <w:jc w:val="both"/>
        <w:rPr>
          <w:rFonts w:ascii="Times New Roman" w:hAnsi="Times New Roman" w:eastAsia="Calibri"/>
          <w:sz w:val="28"/>
          <w:szCs w:val="28"/>
          <w:lang w:eastAsia="en-US"/>
        </w:rPr>
      </w:pPr>
      <w:r>
        <w:rPr>
          <w:rFonts w:eastAsia="Calibri"/>
          <w:sz w:val="28"/>
          <w:szCs w:val="28"/>
          <w:lang w:eastAsia="en-US"/>
        </w:rPr>
        <w:t xml:space="preserve">       </w:t>
      </w:r>
      <w:r>
        <w:rPr>
          <w:rFonts w:eastAsia="Calibri"/>
          <w:sz w:val="28"/>
          <w:szCs w:val="28"/>
          <w:lang w:eastAsia="en-US"/>
        </w:rPr>
        <w:t xml:space="preserve">В учреждениях  культуры созданы уголки старины, где собраны предметы быта, орудия труда, старинная одежда, материалы о народных традициях, промыслах. </w:t>
      </w:r>
    </w:p>
    <w:p>
      <w:pPr>
        <w:pStyle w:val="Normal"/>
        <w:widowControl/>
        <w:suppressAutoHyphens w:val="false"/>
        <w:jc w:val="both"/>
        <w:rPr>
          <w:rFonts w:ascii="Times New Roman" w:hAnsi="Times New Roman"/>
          <w:sz w:val="28"/>
          <w:szCs w:val="28"/>
        </w:rPr>
      </w:pPr>
      <w:r>
        <w:rPr>
          <w:rFonts w:eastAsia="Calibri" w:cs="Calibri"/>
          <w:sz w:val="28"/>
          <w:szCs w:val="28"/>
          <w:lang w:eastAsia="en-US"/>
        </w:rPr>
        <w:t xml:space="preserve">    </w:t>
      </w:r>
      <w:r>
        <w:rPr>
          <w:sz w:val="28"/>
          <w:szCs w:val="28"/>
          <w:lang w:eastAsia="ru-RU"/>
        </w:rPr>
        <w:t xml:space="preserve"> </w:t>
      </w:r>
      <w:r>
        <w:rPr>
          <w:sz w:val="28"/>
          <w:szCs w:val="28"/>
          <w:lang w:eastAsia="ru-RU"/>
        </w:rPr>
        <w:t xml:space="preserve">Творческий коллектив Заборьевского СДК– принял участие в фестивали народного творчества «Красное яблоко», посвященный 860- летие посёлка Красный. </w:t>
      </w:r>
    </w:p>
    <w:p>
      <w:pPr>
        <w:pStyle w:val="Normal"/>
        <w:jc w:val="both"/>
        <w:rPr>
          <w:rFonts w:ascii="Times New Roman" w:hAnsi="Times New Roman" w:eastAsia="Calibri"/>
          <w:sz w:val="28"/>
          <w:szCs w:val="28"/>
          <w:shd w:fill="FFFFFF" w:val="clear"/>
          <w:lang w:eastAsia="en-US"/>
        </w:rPr>
      </w:pPr>
      <w:r>
        <w:rPr>
          <w:rFonts w:eastAsia="Calibri"/>
          <w:sz w:val="28"/>
          <w:szCs w:val="28"/>
          <w:shd w:fill="FFFFFF" w:val="clear"/>
          <w:lang w:eastAsia="en-US"/>
        </w:rPr>
      </w:r>
    </w:p>
    <w:p>
      <w:pPr>
        <w:pStyle w:val="Normal"/>
        <w:ind w:firstLine="567" w:right="0"/>
        <w:jc w:val="both"/>
        <w:rPr>
          <w:rFonts w:ascii="Times New Roman" w:hAnsi="Times New Roman" w:eastAsia="Calibri"/>
          <w:iCs/>
          <w:sz w:val="28"/>
          <w:szCs w:val="28"/>
          <w:shd w:fill="FFFFFF" w:val="clear"/>
          <w:lang w:eastAsia="en-US"/>
        </w:rPr>
      </w:pPr>
      <w:r>
        <w:rPr>
          <w:rFonts w:eastAsia="Calibri"/>
          <w:iCs/>
          <w:sz w:val="28"/>
          <w:szCs w:val="28"/>
          <w:shd w:fill="FFFFFF" w:val="clear"/>
          <w:lang w:eastAsia="en-US"/>
        </w:rPr>
      </w:r>
    </w:p>
    <w:tbl>
      <w:tblPr>
        <w:tblW w:w="5912" w:type="dxa"/>
        <w:jc w:val="center"/>
        <w:tblInd w:w="0" w:type="dxa"/>
        <w:tblLayout w:type="fixed"/>
        <w:tblCellMar>
          <w:top w:w="0" w:type="dxa"/>
          <w:left w:w="40" w:type="dxa"/>
          <w:bottom w:w="0" w:type="dxa"/>
          <w:right w:w="40" w:type="dxa"/>
        </w:tblCellMar>
      </w:tblPr>
      <w:tblGrid>
        <w:gridCol w:w="3910"/>
        <w:gridCol w:w="2002"/>
      </w:tblGrid>
      <w:tr>
        <w:trPr/>
        <w:tc>
          <w:tcPr>
            <w:tcW w:w="3910" w:type="dxa"/>
            <w:tcBorders>
              <w:top w:val="single" w:sz="4" w:space="0" w:color="000000"/>
              <w:left w:val="single" w:sz="4" w:space="0" w:color="000000"/>
              <w:bottom w:val="single" w:sz="4" w:space="0" w:color="000000"/>
            </w:tcBorders>
          </w:tcPr>
          <w:p>
            <w:pPr>
              <w:pStyle w:val="Style23"/>
              <w:widowControl/>
              <w:spacing w:lineRule="auto" w:line="276"/>
              <w:jc w:val="center"/>
              <w:rPr/>
            </w:pPr>
            <w:r>
              <w:rPr>
                <w:rStyle w:val="FontStyle28"/>
                <w:sz w:val="28"/>
                <w:szCs w:val="28"/>
              </w:rPr>
              <w:t>Показатели</w:t>
            </w:r>
          </w:p>
        </w:tc>
        <w:tc>
          <w:tcPr>
            <w:tcW w:w="2002" w:type="dxa"/>
            <w:tcBorders>
              <w:top w:val="single" w:sz="4" w:space="0" w:color="000000"/>
              <w:left w:val="single" w:sz="4" w:space="0" w:color="000000"/>
              <w:bottom w:val="single" w:sz="4" w:space="0" w:color="000000"/>
              <w:right w:val="single" w:sz="4" w:space="0" w:color="000000"/>
            </w:tcBorders>
          </w:tcPr>
          <w:p>
            <w:pPr>
              <w:pStyle w:val="Style23"/>
              <w:widowControl/>
              <w:spacing w:lineRule="auto" w:line="276"/>
              <w:jc w:val="center"/>
              <w:rPr/>
            </w:pPr>
            <w:r>
              <w:rPr>
                <w:rStyle w:val="FontStyle28"/>
                <w:sz w:val="28"/>
                <w:szCs w:val="28"/>
              </w:rPr>
              <w:t>2025</w:t>
            </w:r>
          </w:p>
        </w:tc>
      </w:tr>
      <w:tr>
        <w:trPr>
          <w:trHeight w:val="598" w:hRule="atLeast"/>
        </w:trPr>
        <w:tc>
          <w:tcPr>
            <w:tcW w:w="3910" w:type="dxa"/>
            <w:tcBorders>
              <w:top w:val="single" w:sz="4" w:space="0" w:color="000000"/>
              <w:left w:val="single" w:sz="4" w:space="0" w:color="000000"/>
              <w:bottom w:val="single" w:sz="4" w:space="0" w:color="000000"/>
            </w:tcBorders>
          </w:tcPr>
          <w:p>
            <w:pPr>
              <w:pStyle w:val="Style24"/>
              <w:widowControl/>
              <w:spacing w:lineRule="auto" w:line="276"/>
              <w:rPr/>
            </w:pPr>
            <w:r>
              <w:rPr>
                <w:rStyle w:val="FontStyle31"/>
                <w:sz w:val="28"/>
                <w:szCs w:val="28"/>
              </w:rPr>
              <w:t>Число культурно-массовых</w:t>
            </w:r>
          </w:p>
          <w:p>
            <w:pPr>
              <w:pStyle w:val="Style24"/>
              <w:spacing w:lineRule="auto" w:line="276"/>
              <w:rPr/>
            </w:pPr>
            <w:r>
              <w:rPr>
                <w:rStyle w:val="FontStyle31"/>
                <w:sz w:val="28"/>
                <w:szCs w:val="28"/>
              </w:rPr>
              <w:t>мероприятий</w:t>
            </w:r>
          </w:p>
        </w:tc>
        <w:tc>
          <w:tcPr>
            <w:tcW w:w="2002" w:type="dxa"/>
            <w:tcBorders>
              <w:top w:val="single" w:sz="4" w:space="0" w:color="000000"/>
              <w:left w:val="single" w:sz="4" w:space="0" w:color="000000"/>
              <w:bottom w:val="single" w:sz="4" w:space="0" w:color="000000"/>
              <w:right w:val="single" w:sz="4" w:space="0" w:color="000000"/>
            </w:tcBorders>
          </w:tcPr>
          <w:p>
            <w:pPr>
              <w:pStyle w:val="Style24"/>
              <w:widowControl/>
              <w:spacing w:lineRule="auto" w:line="276"/>
              <w:rPr/>
            </w:pPr>
            <w:r>
              <w:rPr>
                <w:sz w:val="28"/>
                <w:szCs w:val="28"/>
              </w:rPr>
              <w:t>1970</w:t>
            </w:r>
          </w:p>
        </w:tc>
      </w:tr>
      <w:tr>
        <w:trPr/>
        <w:tc>
          <w:tcPr>
            <w:tcW w:w="3910" w:type="dxa"/>
            <w:tcBorders>
              <w:top w:val="single" w:sz="4" w:space="0" w:color="000000"/>
              <w:left w:val="single" w:sz="4" w:space="0" w:color="000000"/>
              <w:bottom w:val="single" w:sz="4" w:space="0" w:color="000000"/>
            </w:tcBorders>
          </w:tcPr>
          <w:p>
            <w:pPr>
              <w:pStyle w:val="Style24"/>
              <w:widowControl/>
              <w:spacing w:lineRule="auto" w:line="276"/>
              <w:rPr/>
            </w:pPr>
            <w:r>
              <w:rPr>
                <w:rStyle w:val="FontStyle31"/>
                <w:sz w:val="28"/>
                <w:szCs w:val="28"/>
              </w:rPr>
              <w:t>Количество посетителей</w:t>
            </w:r>
          </w:p>
        </w:tc>
        <w:tc>
          <w:tcPr>
            <w:tcW w:w="2002" w:type="dxa"/>
            <w:tcBorders>
              <w:top w:val="single" w:sz="4" w:space="0" w:color="000000"/>
              <w:left w:val="single" w:sz="4" w:space="0" w:color="000000"/>
              <w:bottom w:val="single" w:sz="4" w:space="0" w:color="000000"/>
              <w:right w:val="single" w:sz="4" w:space="0" w:color="000000"/>
            </w:tcBorders>
          </w:tcPr>
          <w:p>
            <w:pPr>
              <w:pStyle w:val="Style24"/>
              <w:widowControl/>
              <w:spacing w:lineRule="auto" w:line="276"/>
              <w:rPr/>
            </w:pPr>
            <w:r>
              <w:rPr>
                <w:sz w:val="28"/>
                <w:szCs w:val="28"/>
              </w:rPr>
              <w:t>226240</w:t>
            </w:r>
          </w:p>
        </w:tc>
      </w:tr>
      <w:tr>
        <w:trPr>
          <w:trHeight w:val="598" w:hRule="atLeast"/>
        </w:trPr>
        <w:tc>
          <w:tcPr>
            <w:tcW w:w="3910" w:type="dxa"/>
            <w:tcBorders>
              <w:top w:val="single" w:sz="4" w:space="0" w:color="000000"/>
              <w:left w:val="single" w:sz="4" w:space="0" w:color="000000"/>
              <w:bottom w:val="single" w:sz="4" w:space="0" w:color="000000"/>
            </w:tcBorders>
          </w:tcPr>
          <w:p>
            <w:pPr>
              <w:pStyle w:val="Style24"/>
              <w:widowControl/>
              <w:spacing w:lineRule="auto" w:line="276"/>
              <w:rPr/>
            </w:pPr>
            <w:r>
              <w:rPr>
                <w:rStyle w:val="FontStyle31"/>
                <w:sz w:val="28"/>
                <w:szCs w:val="28"/>
              </w:rPr>
              <w:t>Количество клубных</w:t>
            </w:r>
          </w:p>
          <w:p>
            <w:pPr>
              <w:pStyle w:val="Style24"/>
              <w:spacing w:lineRule="auto" w:line="276"/>
              <w:rPr/>
            </w:pPr>
            <w:r>
              <w:rPr>
                <w:rStyle w:val="FontStyle31"/>
                <w:sz w:val="28"/>
                <w:szCs w:val="28"/>
              </w:rPr>
              <w:t>формирований</w:t>
            </w:r>
          </w:p>
        </w:tc>
        <w:tc>
          <w:tcPr>
            <w:tcW w:w="2002" w:type="dxa"/>
            <w:tcBorders>
              <w:top w:val="single" w:sz="4" w:space="0" w:color="000000"/>
              <w:left w:val="single" w:sz="4" w:space="0" w:color="000000"/>
              <w:bottom w:val="single" w:sz="4" w:space="0" w:color="000000"/>
              <w:right w:val="single" w:sz="4" w:space="0" w:color="000000"/>
            </w:tcBorders>
          </w:tcPr>
          <w:p>
            <w:pPr>
              <w:pStyle w:val="Style24"/>
              <w:widowControl/>
              <w:spacing w:lineRule="auto" w:line="276"/>
              <w:rPr/>
            </w:pPr>
            <w:r>
              <w:rPr>
                <w:rStyle w:val="FontStyle31"/>
                <w:sz w:val="28"/>
                <w:szCs w:val="28"/>
              </w:rPr>
              <w:t>132</w:t>
            </w:r>
          </w:p>
        </w:tc>
      </w:tr>
    </w:tbl>
    <w:p>
      <w:pPr>
        <w:pStyle w:val="Normal"/>
        <w:jc w:val="both"/>
        <w:rPr/>
      </w:pPr>
      <w:r>
        <w:rPr>
          <w:rStyle w:val="FontStyle31"/>
          <w:sz w:val="28"/>
          <w:szCs w:val="28"/>
        </w:rPr>
        <w:t xml:space="preserve">       </w:t>
      </w:r>
    </w:p>
    <w:p>
      <w:pPr>
        <w:pStyle w:val="Normal"/>
        <w:jc w:val="both"/>
        <w:rPr/>
      </w:pPr>
      <w:r>
        <w:rPr>
          <w:rStyle w:val="FontStyle31"/>
          <w:sz w:val="28"/>
          <w:szCs w:val="28"/>
        </w:rPr>
        <w:t xml:space="preserve">  </w:t>
      </w:r>
      <w:r>
        <w:rPr>
          <w:rStyle w:val="FontStyle31"/>
          <w:sz w:val="28"/>
          <w:szCs w:val="28"/>
        </w:rPr>
        <w:t xml:space="preserve">В 2025 году по  проекту  «Культура малой Родины» в Дубровский СДК была приобретена звукоусилительная аппаратура. </w:t>
      </w:r>
      <w:r>
        <w:rPr>
          <w:rStyle w:val="FontStyle31"/>
          <w:bCs/>
          <w:sz w:val="28"/>
          <w:szCs w:val="28"/>
          <w:lang w:eastAsia="ru-RU"/>
        </w:rPr>
        <w:t>Федеральный партийный проект ОГП «Развитие культуры в Смоленской области</w:t>
      </w:r>
      <w:r>
        <w:rPr>
          <w:rStyle w:val="FontStyle31"/>
          <w:sz w:val="28"/>
          <w:szCs w:val="28"/>
        </w:rPr>
        <w:t xml:space="preserve"> Пржевальский ГДК-к</w:t>
      </w:r>
      <w:r>
        <w:rPr>
          <w:rStyle w:val="FontStyle31"/>
          <w:sz w:val="28"/>
          <w:szCs w:val="28"/>
          <w:lang w:eastAsia="ru-RU"/>
        </w:rPr>
        <w:t>апитальный ремонт здания.</w:t>
      </w:r>
      <w:r>
        <w:rPr>
          <w:rStyle w:val="FontStyle31"/>
          <w:sz w:val="28"/>
          <w:szCs w:val="28"/>
        </w:rPr>
        <w:t xml:space="preserve"> </w:t>
      </w:r>
    </w:p>
    <w:p>
      <w:pPr>
        <w:pStyle w:val="Normal"/>
        <w:ind w:firstLine="426" w:right="0"/>
        <w:jc w:val="both"/>
        <w:rPr>
          <w:rFonts w:ascii="Times New Roman" w:hAnsi="Times New Roman"/>
          <w:sz w:val="28"/>
          <w:szCs w:val="28"/>
        </w:rPr>
      </w:pPr>
      <w:r>
        <w:rPr>
          <w:iCs/>
          <w:sz w:val="28"/>
          <w:szCs w:val="28"/>
        </w:rPr>
        <w:t xml:space="preserve">  </w:t>
      </w:r>
      <w:r>
        <w:rPr>
          <w:iCs/>
          <w:sz w:val="28"/>
          <w:szCs w:val="28"/>
        </w:rPr>
        <w:t xml:space="preserve">В 2025 году Дубровский СДК </w:t>
      </w:r>
      <w:r>
        <w:rPr>
          <w:sz w:val="28"/>
          <w:szCs w:val="28"/>
        </w:rPr>
        <w:t>участвовал  в конкурсе по отбору  муниципальных учреждений культуры, находящегося на территории сельского поселения</w:t>
      </w:r>
      <w:r>
        <w:rPr>
          <w:iCs/>
          <w:sz w:val="28"/>
          <w:szCs w:val="28"/>
        </w:rPr>
        <w:t>, и стал победителем. За счёт денежной премии будет приобретена одежда сцены.</w:t>
      </w:r>
    </w:p>
    <w:p>
      <w:pPr>
        <w:pStyle w:val="Normal"/>
        <w:ind w:firstLine="426" w:right="0"/>
        <w:jc w:val="both"/>
        <w:rPr>
          <w:rFonts w:ascii="Times New Roman" w:hAnsi="Times New Roman"/>
          <w:iCs/>
          <w:sz w:val="28"/>
          <w:szCs w:val="28"/>
        </w:rPr>
      </w:pPr>
      <w:r>
        <w:rPr>
          <w:iCs/>
          <w:sz w:val="28"/>
          <w:szCs w:val="28"/>
        </w:rPr>
      </w:r>
    </w:p>
    <w:p>
      <w:pPr>
        <w:pStyle w:val="Normal"/>
        <w:ind w:left="-142" w:right="0"/>
        <w:jc w:val="center"/>
        <w:rPr>
          <w:rFonts w:ascii="Times New Roman" w:hAnsi="Times New Roman"/>
          <w:sz w:val="28"/>
          <w:szCs w:val="28"/>
        </w:rPr>
      </w:pPr>
      <w:r>
        <w:rPr>
          <w:b/>
          <w:sz w:val="28"/>
          <w:szCs w:val="28"/>
          <w:u w:val="single"/>
        </w:rPr>
        <w:t>Муниципальное бюджетное учреждение культуры Централизованная библиотечная система муниципального образования «Демидовский муниципальный округ» Смоленской области</w:t>
      </w:r>
    </w:p>
    <w:p>
      <w:pPr>
        <w:pStyle w:val="Normal"/>
        <w:ind w:left="-142" w:right="0"/>
        <w:jc w:val="center"/>
        <w:rPr>
          <w:rFonts w:ascii="Times New Roman" w:hAnsi="Times New Roman"/>
          <w:b/>
          <w:sz w:val="28"/>
          <w:szCs w:val="28"/>
          <w:u w:val="single"/>
        </w:rPr>
      </w:pPr>
      <w:r>
        <w:rPr>
          <w:b/>
          <w:sz w:val="28"/>
          <w:szCs w:val="28"/>
          <w:u w:val="single"/>
        </w:rPr>
      </w:r>
    </w:p>
    <w:p>
      <w:pPr>
        <w:pStyle w:val="Normal"/>
        <w:ind w:firstLine="709" w:right="0"/>
        <w:jc w:val="both"/>
        <w:rPr>
          <w:rFonts w:ascii="Times New Roman" w:hAnsi="Times New Roman"/>
          <w:sz w:val="28"/>
          <w:szCs w:val="28"/>
        </w:rPr>
      </w:pPr>
      <w:r>
        <w:rPr>
          <w:rFonts w:eastAsia="Calibri"/>
          <w:sz w:val="28"/>
          <w:szCs w:val="28"/>
        </w:rPr>
        <w:t>В 2025 году количество  муниципальных библиотек округа  сохранилось без изменений, главная заслуга в этом Администрации муниципального образования «Демидовский муниципальный округ» Смоленской области,  которая на протяжении ряда лет поддерживает   сеть, хотя учреждение   финансово затратное. Состояние и развитие библиотечных ресурсов  во многом зависят от уровня финансирования. Недостаточное финансирование не лучшим образом отражается на продвижении библиотечных услуг среди населения.  Тем не менее, библиотеки в своей повседневной деятельности вносят весомый вклад в социокультурное</w:t>
      </w:r>
    </w:p>
    <w:p>
      <w:pPr>
        <w:pStyle w:val="Normal"/>
        <w:ind w:firstLine="709" w:right="0"/>
        <w:jc w:val="both"/>
        <w:rPr>
          <w:rFonts w:ascii="Times New Roman" w:hAnsi="Times New Roman"/>
          <w:sz w:val="28"/>
          <w:szCs w:val="28"/>
        </w:rPr>
      </w:pPr>
      <w:r>
        <w:rPr>
          <w:rFonts w:eastAsia="Calibri"/>
          <w:sz w:val="28"/>
          <w:szCs w:val="28"/>
        </w:rPr>
        <w:t xml:space="preserve">развитие местного сообщества, способствуя продвижению книги и чтения среди населения округа. Сегодня библиотеки, в том числе сельские, все увереннее выходят в виртуальное пространство, расширяют ассортимент предоставляемых населению дополнительных услуг.  </w:t>
      </w:r>
    </w:p>
    <w:p>
      <w:pPr>
        <w:pStyle w:val="Normal"/>
        <w:ind w:firstLine="567" w:right="0"/>
        <w:jc w:val="both"/>
        <w:rPr>
          <w:rFonts w:ascii="Times New Roman" w:hAnsi="Times New Roman"/>
          <w:sz w:val="28"/>
          <w:szCs w:val="28"/>
        </w:rPr>
      </w:pPr>
      <w:bookmarkStart w:id="1" w:name="_GoBack_Копия_1"/>
      <w:bookmarkEnd w:id="1"/>
      <w:r>
        <w:rPr>
          <w:sz w:val="28"/>
          <w:szCs w:val="28"/>
        </w:rPr>
        <w:t xml:space="preserve">Муниципальное бюджетное учреждение культуры Централизованная библиотечная система муниципального образования «Демидовский муниципальный округ» Смоленской области приняло  участие в конкурсном отборе  </w:t>
      </w:r>
      <w:r>
        <w:rPr>
          <w:sz w:val="28"/>
          <w:szCs w:val="28"/>
          <w:shd w:fill="FFFFFF" w:val="clear"/>
        </w:rPr>
        <w:t>Министерства  культуры Российской Федерации для предоставления субсидий в 2026 году на модернизацию учреждений культуры:</w:t>
      </w:r>
    </w:p>
    <w:p>
      <w:pPr>
        <w:pStyle w:val="Normal"/>
        <w:ind w:firstLine="567" w:right="0"/>
        <w:jc w:val="both"/>
        <w:rPr>
          <w:rFonts w:ascii="Times New Roman" w:hAnsi="Times New Roman"/>
          <w:sz w:val="28"/>
          <w:szCs w:val="28"/>
          <w:shd w:fill="FFFFFF" w:val="clear"/>
        </w:rPr>
      </w:pPr>
      <w:r>
        <w:rPr>
          <w:sz w:val="28"/>
          <w:szCs w:val="28"/>
          <w:shd w:fill="FFFFFF" w:val="clear"/>
        </w:rPr>
        <w:t xml:space="preserve"> </w:t>
      </w:r>
      <w:r>
        <w:rPr>
          <w:sz w:val="28"/>
          <w:szCs w:val="28"/>
          <w:shd w:fill="FFFFFF" w:val="clear"/>
        </w:rPr>
        <w:t xml:space="preserve">в номинации  на  создание  детского  культурно-просветительского  центра победила   Демидовская центральная детская библиотека с проектом   «Островок семейного чтения». </w:t>
      </w:r>
    </w:p>
    <w:p>
      <w:pPr>
        <w:pStyle w:val="Default"/>
        <w:ind w:firstLine="709" w:right="0"/>
        <w:jc w:val="both"/>
        <w:rPr>
          <w:rFonts w:ascii="Times New Roman" w:hAnsi="Times New Roman"/>
          <w:sz w:val="28"/>
          <w:szCs w:val="28"/>
        </w:rPr>
      </w:pPr>
      <w:bookmarkStart w:id="2" w:name="_GoBack_Копия_1_Копия_1"/>
      <w:bookmarkEnd w:id="2"/>
      <w:r>
        <w:rPr>
          <w:color w:val="000000"/>
          <w:sz w:val="28"/>
          <w:szCs w:val="28"/>
        </w:rPr>
        <w:t xml:space="preserve">Библиотеки округа стремятся соответствовать модельному стандарту общедоступной  муниципальной библиотеки. </w:t>
      </w:r>
    </w:p>
    <w:p>
      <w:pPr>
        <w:pStyle w:val="Normal"/>
        <w:ind w:firstLine="567" w:right="0"/>
        <w:jc w:val="both"/>
        <w:rPr>
          <w:rFonts w:ascii="Times New Roman" w:hAnsi="Times New Roman"/>
          <w:color w:val="FF0000"/>
          <w:sz w:val="28"/>
          <w:szCs w:val="28"/>
          <w:shd w:fill="FFFFFF" w:val="clear"/>
        </w:rPr>
      </w:pPr>
      <w:r>
        <w:rPr>
          <w:color w:val="FF0000"/>
          <w:sz w:val="28"/>
          <w:szCs w:val="28"/>
          <w:shd w:fill="FFFFFF" w:val="clear"/>
        </w:rPr>
      </w:r>
    </w:p>
    <w:p>
      <w:pPr>
        <w:pStyle w:val="Default"/>
        <w:ind w:firstLine="709" w:right="0"/>
        <w:jc w:val="both"/>
        <w:rPr>
          <w:rFonts w:ascii="Times New Roman" w:hAnsi="Times New Roman"/>
          <w:color w:val="000000"/>
          <w:sz w:val="28"/>
          <w:szCs w:val="28"/>
          <w:shd w:fill="FFFFFF" w:val="clear"/>
        </w:rPr>
      </w:pPr>
      <w:r>
        <w:rPr>
          <w:color w:val="000000"/>
          <w:sz w:val="28"/>
          <w:szCs w:val="28"/>
          <w:shd w:fill="FFFFFF" w:val="clear"/>
        </w:rPr>
      </w:r>
    </w:p>
    <w:tbl>
      <w:tblPr>
        <w:tblpPr w:vertAnchor="text" w:horzAnchor="margin" w:tblpXSpec="center" w:leftFromText="180" w:rightFromText="180" w:tblpY="19"/>
        <w:tblW w:w="5258" w:type="dxa"/>
        <w:jc w:val="left"/>
        <w:tblInd w:w="5" w:type="dxa"/>
        <w:tblLayout w:type="fixed"/>
        <w:tblCellMar>
          <w:top w:w="0" w:type="dxa"/>
          <w:left w:w="5" w:type="dxa"/>
          <w:bottom w:w="0" w:type="dxa"/>
          <w:right w:w="5" w:type="dxa"/>
        </w:tblCellMar>
      </w:tblPr>
      <w:tblGrid>
        <w:gridCol w:w="3558"/>
        <w:gridCol w:w="1700"/>
      </w:tblGrid>
      <w:tr>
        <w:trPr/>
        <w:tc>
          <w:tcPr>
            <w:tcW w:w="355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Cs/>
                <w:sz w:val="28"/>
                <w:szCs w:val="28"/>
              </w:rPr>
            </w:pPr>
            <w:r>
              <w:rPr>
                <w:b/>
                <w:bCs/>
                <w:sz w:val="28"/>
                <w:szCs w:val="28"/>
              </w:rPr>
              <w:t>Показатель</w:t>
            </w:r>
          </w:p>
        </w:tc>
        <w:tc>
          <w:tcPr>
            <w:tcW w:w="1700"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sz w:val="28"/>
                <w:szCs w:val="28"/>
              </w:rPr>
              <w:t>2025</w:t>
            </w:r>
          </w:p>
        </w:tc>
      </w:tr>
      <w:tr>
        <w:trPr/>
        <w:tc>
          <w:tcPr>
            <w:tcW w:w="355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sz w:val="28"/>
                <w:szCs w:val="28"/>
              </w:rPr>
            </w:pPr>
            <w:r>
              <w:rPr>
                <w:bCs/>
                <w:sz w:val="28"/>
                <w:szCs w:val="28"/>
              </w:rPr>
              <w:t>Пользователи</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before="100" w:after="100"/>
              <w:jc w:val="center"/>
              <w:rPr/>
            </w:pPr>
            <w:r>
              <w:rPr/>
              <w:t>8630</w:t>
            </w:r>
          </w:p>
        </w:tc>
      </w:tr>
      <w:tr>
        <w:trPr/>
        <w:tc>
          <w:tcPr>
            <w:tcW w:w="355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sz w:val="28"/>
                <w:szCs w:val="28"/>
              </w:rPr>
            </w:pPr>
            <w:r>
              <w:rPr>
                <w:bCs/>
                <w:sz w:val="28"/>
                <w:szCs w:val="28"/>
              </w:rPr>
              <w:t>Книговыдача</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before="100" w:after="100"/>
              <w:jc w:val="center"/>
              <w:rPr/>
            </w:pPr>
            <w:r>
              <w:rPr/>
              <w:t>208562</w:t>
            </w:r>
          </w:p>
        </w:tc>
      </w:tr>
      <w:tr>
        <w:trPr/>
        <w:tc>
          <w:tcPr>
            <w:tcW w:w="355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sz w:val="28"/>
                <w:szCs w:val="28"/>
              </w:rPr>
            </w:pPr>
            <w:r>
              <w:rPr>
                <w:bCs/>
                <w:sz w:val="28"/>
                <w:szCs w:val="28"/>
              </w:rPr>
              <w:t>Посещения</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before="100" w:after="100"/>
              <w:jc w:val="center"/>
              <w:rPr/>
            </w:pPr>
            <w:r>
              <w:rPr/>
              <w:t>177510</w:t>
            </w:r>
          </w:p>
        </w:tc>
      </w:tr>
    </w:tbl>
    <w:p>
      <w:pPr>
        <w:pStyle w:val="Style27"/>
        <w:jc w:val="both"/>
        <w:rPr>
          <w:rFonts w:ascii="Times New Roman" w:hAnsi="Times New Roman" w:cs="Times New Roman"/>
          <w:b/>
          <w:sz w:val="28"/>
          <w:szCs w:val="28"/>
        </w:rPr>
      </w:pPr>
      <w:r>
        <w:rPr>
          <w:rFonts w:cs="Times New Roman" w:ascii="Times New Roman" w:hAnsi="Times New Roman"/>
          <w:b/>
          <w:sz w:val="28"/>
          <w:szCs w:val="28"/>
        </w:rPr>
      </w:r>
    </w:p>
    <w:p>
      <w:pPr>
        <w:pStyle w:val="Style27"/>
        <w:jc w:val="both"/>
        <w:rPr>
          <w:rFonts w:ascii="Times New Roman" w:hAnsi="Times New Roman" w:cs="Times New Roman"/>
          <w:b/>
          <w:sz w:val="28"/>
          <w:szCs w:val="28"/>
        </w:rPr>
      </w:pPr>
      <w:r>
        <w:rPr>
          <w:rFonts w:cs="Times New Roman" w:ascii="Times New Roman" w:hAnsi="Times New Roman"/>
          <w:b/>
          <w:sz w:val="28"/>
          <w:szCs w:val="28"/>
        </w:rPr>
      </w:r>
    </w:p>
    <w:p>
      <w:pPr>
        <w:pStyle w:val="Style27"/>
        <w:jc w:val="both"/>
        <w:rPr>
          <w:rFonts w:ascii="Times New Roman" w:hAnsi="Times New Roman" w:cs="Times New Roman"/>
          <w:b/>
          <w:sz w:val="28"/>
          <w:szCs w:val="28"/>
        </w:rPr>
      </w:pPr>
      <w:r>
        <w:rPr>
          <w:rFonts w:cs="Times New Roman" w:ascii="Times New Roman" w:hAnsi="Times New Roman"/>
          <w:b/>
          <w:sz w:val="28"/>
          <w:szCs w:val="28"/>
        </w:rPr>
      </w:r>
    </w:p>
    <w:p>
      <w:pPr>
        <w:pStyle w:val="Style27"/>
        <w:jc w:val="both"/>
        <w:rPr>
          <w:rFonts w:ascii="Times New Roman" w:hAnsi="Times New Roman" w:cs="Times New Roman"/>
          <w:b/>
          <w:sz w:val="28"/>
          <w:szCs w:val="28"/>
        </w:rPr>
      </w:pPr>
      <w:r>
        <w:rPr>
          <w:rFonts w:cs="Times New Roman" w:ascii="Times New Roman" w:hAnsi="Times New Roman"/>
          <w:b/>
          <w:sz w:val="28"/>
          <w:szCs w:val="28"/>
        </w:rPr>
      </w:r>
    </w:p>
    <w:p>
      <w:pPr>
        <w:pStyle w:val="Style27"/>
        <w:rPr>
          <w:rFonts w:ascii="Times New Roman" w:hAnsi="Times New Roman" w:cs="Times New Roman"/>
          <w:b/>
          <w:sz w:val="28"/>
          <w:szCs w:val="28"/>
        </w:rPr>
      </w:pPr>
      <w:r>
        <w:rPr>
          <w:rFonts w:cs="Times New Roman" w:ascii="Times New Roman" w:hAnsi="Times New Roman"/>
          <w:b/>
          <w:sz w:val="28"/>
          <w:szCs w:val="28"/>
        </w:rPr>
      </w:r>
    </w:p>
    <w:p>
      <w:pPr>
        <w:pStyle w:val="Style27"/>
        <w:jc w:val="center"/>
        <w:rPr>
          <w:rFonts w:ascii="Times New Roman" w:hAnsi="Times New Roman" w:cs="Times New Roman"/>
          <w:b/>
          <w:sz w:val="28"/>
          <w:szCs w:val="28"/>
        </w:rPr>
      </w:pPr>
      <w:r>
        <w:rPr>
          <w:rFonts w:cs="Times New Roman" w:ascii="Times New Roman" w:hAnsi="Times New Roman"/>
          <w:b/>
          <w:sz w:val="28"/>
          <w:szCs w:val="28"/>
        </w:rPr>
      </w:r>
    </w:p>
    <w:p>
      <w:pPr>
        <w:pStyle w:val="Style27"/>
        <w:jc w:val="center"/>
        <w:rPr>
          <w:rFonts w:ascii="Times New Roman" w:hAnsi="Times New Roman" w:cs="Times New Roman"/>
          <w:b/>
          <w:sz w:val="28"/>
          <w:szCs w:val="28"/>
        </w:rPr>
      </w:pPr>
      <w:r>
        <w:rPr>
          <w:rFonts w:cs="Times New Roman" w:ascii="Times New Roman" w:hAnsi="Times New Roman"/>
          <w:b/>
          <w:sz w:val="28"/>
          <w:szCs w:val="28"/>
        </w:rPr>
      </w:r>
    </w:p>
    <w:p>
      <w:pPr>
        <w:pStyle w:val="Style27"/>
        <w:jc w:val="center"/>
        <w:rPr>
          <w:rFonts w:ascii="Times New Roman" w:hAnsi="Times New Roman" w:cs="Times New Roman"/>
          <w:b/>
          <w:sz w:val="28"/>
          <w:szCs w:val="28"/>
        </w:rPr>
      </w:pPr>
      <w:r>
        <w:rPr>
          <w:rFonts w:cs="Times New Roman" w:ascii="Times New Roman" w:hAnsi="Times New Roman"/>
          <w:b/>
          <w:sz w:val="28"/>
          <w:szCs w:val="28"/>
        </w:rPr>
        <w:t>Охват библиотечным обслуживанием</w:t>
      </w:r>
    </w:p>
    <w:tbl>
      <w:tblPr>
        <w:tblpPr w:vertAnchor="text" w:horzAnchor="margin" w:rightFromText="180" w:tblpX="0" w:tblpY="19"/>
        <w:tblW w:w="9225" w:type="dxa"/>
        <w:jc w:val="left"/>
        <w:tblInd w:w="5" w:type="dxa"/>
        <w:tblLayout w:type="fixed"/>
        <w:tblCellMar>
          <w:top w:w="0" w:type="dxa"/>
          <w:left w:w="5" w:type="dxa"/>
          <w:bottom w:w="0" w:type="dxa"/>
          <w:right w:w="5" w:type="dxa"/>
        </w:tblCellMar>
      </w:tblPr>
      <w:tblGrid>
        <w:gridCol w:w="3210"/>
        <w:gridCol w:w="1339"/>
        <w:gridCol w:w="1275"/>
        <w:gridCol w:w="1558"/>
        <w:gridCol w:w="1843"/>
      </w:tblGrid>
      <w:tr>
        <w:trPr/>
        <w:tc>
          <w:tcPr>
            <w:tcW w:w="321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Cs/>
                <w:sz w:val="28"/>
                <w:szCs w:val="28"/>
              </w:rPr>
            </w:pPr>
            <w:r>
              <w:rPr>
                <w:b/>
                <w:bCs/>
                <w:sz w:val="28"/>
                <w:szCs w:val="28"/>
              </w:rPr>
              <w:t>Показатель</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Cs/>
                <w:sz w:val="28"/>
                <w:szCs w:val="28"/>
              </w:rPr>
            </w:pPr>
            <w:r>
              <w:rPr>
                <w:b/>
                <w:bCs/>
                <w:sz w:val="28"/>
                <w:szCs w:val="28"/>
              </w:rPr>
              <w:t>ЦБС</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Cs/>
                <w:sz w:val="28"/>
                <w:szCs w:val="28"/>
              </w:rPr>
            </w:pPr>
            <w:r>
              <w:rPr>
                <w:b/>
                <w:bCs/>
                <w:sz w:val="28"/>
                <w:szCs w:val="28"/>
              </w:rPr>
              <w:t>ЦБ</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Cs/>
                <w:sz w:val="28"/>
                <w:szCs w:val="28"/>
              </w:rPr>
            </w:pPr>
            <w:r>
              <w:rPr>
                <w:b/>
                <w:bCs/>
                <w:sz w:val="28"/>
                <w:szCs w:val="28"/>
              </w:rPr>
              <w:t>Городские  филиалы</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Cs/>
                <w:sz w:val="28"/>
                <w:szCs w:val="28"/>
              </w:rPr>
            </w:pPr>
            <w:r>
              <w:rPr>
                <w:b/>
                <w:bCs/>
                <w:sz w:val="28"/>
                <w:szCs w:val="28"/>
              </w:rPr>
              <w:t>Сельские филиалы</w:t>
            </w:r>
          </w:p>
        </w:tc>
      </w:tr>
      <w:tr>
        <w:trPr/>
        <w:tc>
          <w:tcPr>
            <w:tcW w:w="321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sz w:val="28"/>
                <w:szCs w:val="28"/>
              </w:rPr>
            </w:pPr>
            <w:r>
              <w:rPr>
                <w:bCs/>
                <w:sz w:val="28"/>
                <w:szCs w:val="28"/>
              </w:rPr>
              <w:t>%  охвата населения библиотечным обслуживанием                2023</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Normal"/>
              <w:spacing w:before="100" w:after="100"/>
              <w:jc w:val="center"/>
              <w:rPr/>
            </w:pPr>
            <w:r>
              <w:rPr/>
              <w:t>82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spacing w:before="100" w:after="100"/>
              <w:jc w:val="center"/>
              <w:rPr/>
            </w:pPr>
            <w:r>
              <w:rPr/>
              <w:t>48</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spacing w:before="100" w:after="100"/>
              <w:jc w:val="center"/>
              <w:rPr/>
            </w:pPr>
            <w:r>
              <w:rPr/>
              <w:t>92</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before="100" w:after="100"/>
              <w:jc w:val="center"/>
              <w:rPr/>
            </w:pPr>
            <w:r>
              <w:rPr/>
              <w:t>81</w:t>
            </w:r>
          </w:p>
        </w:tc>
      </w:tr>
    </w:tbl>
    <w:p>
      <w:pPr>
        <w:pStyle w:val="Style27"/>
        <w:jc w:val="both"/>
        <w:rPr>
          <w:rFonts w:ascii="Times New Roman" w:hAnsi="Times New Roman" w:cs="Times New Roman"/>
          <w:sz w:val="28"/>
          <w:szCs w:val="28"/>
        </w:rPr>
      </w:pPr>
      <w:r>
        <w:rPr>
          <w:rFonts w:cs="Times New Roman" w:ascii="Times New Roman" w:hAnsi="Times New Roman"/>
          <w:sz w:val="28"/>
          <w:szCs w:val="28"/>
        </w:rPr>
      </w:r>
    </w:p>
    <w:p>
      <w:pPr>
        <w:pStyle w:val="Style27"/>
        <w:jc w:val="both"/>
        <w:rPr>
          <w:rFonts w:ascii="Times New Roman" w:hAnsi="Times New Roman" w:cs="Times New Roman"/>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Выполнение показателей:</w:t>
      </w:r>
    </w:p>
    <w:p>
      <w:pPr>
        <w:pStyle w:val="Style27"/>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 </w:t>
      </w:r>
      <w:r>
        <w:rPr>
          <w:rFonts w:cs="Times New Roman" w:ascii="Times New Roman" w:hAnsi="Times New Roman"/>
          <w:b/>
          <w:sz w:val="28"/>
          <w:szCs w:val="28"/>
        </w:rPr>
        <w:t>«дорожная  карта»</w:t>
      </w:r>
    </w:p>
    <w:p>
      <w:pPr>
        <w:pStyle w:val="Style27"/>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средний уровень заработной платы –</w:t>
      </w:r>
      <w:r>
        <w:rPr>
          <w:rFonts w:cs="Times New Roman" w:ascii="Times New Roman" w:hAnsi="Times New Roman"/>
          <w:color w:val="000000"/>
          <w:sz w:val="28"/>
          <w:szCs w:val="28"/>
        </w:rPr>
        <w:t xml:space="preserve">32308 </w:t>
      </w:r>
      <w:r>
        <w:rPr>
          <w:rFonts w:cs="Times New Roman" w:ascii="Times New Roman" w:hAnsi="Times New Roman"/>
          <w:sz w:val="28"/>
          <w:szCs w:val="28"/>
        </w:rPr>
        <w:t xml:space="preserve"> рублей.</w:t>
      </w:r>
    </w:p>
    <w:p>
      <w:pPr>
        <w:pStyle w:val="Style27"/>
        <w:jc w:val="both"/>
        <w:rPr>
          <w:rFonts w:ascii="Times New Roman" w:hAnsi="Times New Roman"/>
          <w:sz w:val="28"/>
          <w:szCs w:val="28"/>
        </w:rPr>
      </w:pPr>
      <w:r>
        <w:rPr>
          <w:rFonts w:cs="Times New Roman" w:ascii="Times New Roman" w:hAnsi="Times New Roman"/>
          <w:sz w:val="28"/>
          <w:szCs w:val="28"/>
        </w:rPr>
        <w:t>- «</w:t>
      </w:r>
      <w:r>
        <w:rPr>
          <w:rFonts w:cs="Times New Roman" w:ascii="Times New Roman" w:hAnsi="Times New Roman"/>
          <w:b/>
          <w:sz w:val="28"/>
          <w:szCs w:val="28"/>
        </w:rPr>
        <w:t xml:space="preserve">муниципальное задание» </w:t>
      </w:r>
      <w:r>
        <w:rPr>
          <w:rFonts w:cs="Times New Roman" w:ascii="Times New Roman" w:hAnsi="Times New Roman"/>
          <w:sz w:val="28"/>
          <w:szCs w:val="28"/>
        </w:rPr>
        <w:t>выполнено на 100 %</w:t>
      </w:r>
    </w:p>
    <w:p>
      <w:pPr>
        <w:pStyle w:val="Style27"/>
        <w:jc w:val="both"/>
        <w:rPr>
          <w:rFonts w:ascii="Times New Roman" w:hAnsi="Times New Roman" w:cs="Times New Roman"/>
          <w:sz w:val="28"/>
          <w:szCs w:val="28"/>
        </w:rPr>
      </w:pPr>
      <w:r>
        <w:rPr>
          <w:rFonts w:cs="Times New Roman" w:ascii="Times New Roman" w:hAnsi="Times New Roman"/>
          <w:sz w:val="28"/>
          <w:szCs w:val="28"/>
        </w:rPr>
      </w:r>
    </w:p>
    <w:p>
      <w:pPr>
        <w:pStyle w:val="Style27"/>
        <w:jc w:val="center"/>
        <w:rPr>
          <w:rFonts w:ascii="Times New Roman" w:hAnsi="Times New Roman" w:cs="Times New Roman"/>
          <w:b/>
          <w:sz w:val="28"/>
          <w:szCs w:val="28"/>
        </w:rPr>
      </w:pPr>
      <w:r>
        <w:rPr>
          <w:rFonts w:cs="Times New Roman" w:ascii="Times New Roman" w:hAnsi="Times New Roman"/>
          <w:b/>
          <w:sz w:val="28"/>
          <w:szCs w:val="28"/>
        </w:rPr>
        <w:t>Объем муниципальной услуги:</w:t>
      </w:r>
    </w:p>
    <w:tbl>
      <w:tblPr>
        <w:tblW w:w="9190" w:type="dxa"/>
        <w:jc w:val="left"/>
        <w:tblInd w:w="132" w:type="dxa"/>
        <w:tblLayout w:type="fixed"/>
        <w:tblCellMar>
          <w:top w:w="0" w:type="dxa"/>
          <w:left w:w="108" w:type="dxa"/>
          <w:bottom w:w="0" w:type="dxa"/>
          <w:right w:w="108" w:type="dxa"/>
        </w:tblCellMar>
      </w:tblPr>
      <w:tblGrid>
        <w:gridCol w:w="3359"/>
        <w:gridCol w:w="2854"/>
        <w:gridCol w:w="2977"/>
      </w:tblGrid>
      <w:tr>
        <w:trPr>
          <w:trHeight w:val="435" w:hRule="atLeast"/>
        </w:trPr>
        <w:tc>
          <w:tcPr>
            <w:tcW w:w="3359" w:type="dxa"/>
            <w:tcBorders>
              <w:top w:val="single" w:sz="4" w:space="0" w:color="000000"/>
              <w:left w:val="single" w:sz="4" w:space="0" w:color="000000"/>
              <w:bottom w:val="single" w:sz="4" w:space="0" w:color="000000"/>
              <w:right w:val="single" w:sz="4" w:space="0" w:color="000000"/>
            </w:tcBorders>
          </w:tcPr>
          <w:p>
            <w:pPr>
              <w:pStyle w:val="Style27"/>
              <w:snapToGrid w:val="false"/>
              <w:ind w:left="-24" w:right="0"/>
              <w:jc w:val="both"/>
              <w:rPr>
                <w:rFonts w:ascii="Times New Roman" w:hAnsi="Times New Roman" w:cs="Times New Roman"/>
                <w:b/>
                <w:sz w:val="28"/>
                <w:szCs w:val="28"/>
              </w:rPr>
            </w:pPr>
            <w:r>
              <w:rPr>
                <w:rFonts w:cs="Times New Roman" w:ascii="Times New Roman" w:hAnsi="Times New Roman"/>
                <w:b/>
                <w:sz w:val="28"/>
                <w:szCs w:val="28"/>
              </w:rPr>
            </w:r>
          </w:p>
          <w:p>
            <w:pPr>
              <w:pStyle w:val="Style27"/>
              <w:ind w:left="-24" w:right="0"/>
              <w:jc w:val="both"/>
              <w:rPr>
                <w:rFonts w:ascii="Times New Roman" w:hAnsi="Times New Roman" w:cs="Times New Roman"/>
                <w:b/>
                <w:sz w:val="28"/>
                <w:szCs w:val="28"/>
              </w:rPr>
            </w:pPr>
            <w:r>
              <w:rPr>
                <w:rFonts w:cs="Times New Roman" w:ascii="Times New Roman" w:hAnsi="Times New Roman"/>
                <w:b/>
                <w:sz w:val="28"/>
                <w:szCs w:val="28"/>
              </w:rPr>
            </w:r>
          </w:p>
        </w:tc>
        <w:tc>
          <w:tcPr>
            <w:tcW w:w="2854" w:type="dxa"/>
            <w:tcBorders>
              <w:top w:val="single" w:sz="4" w:space="0" w:color="000000"/>
              <w:left w:val="single" w:sz="4" w:space="0" w:color="000000"/>
              <w:bottom w:val="single" w:sz="4" w:space="0" w:color="000000"/>
              <w:right w:val="single" w:sz="4" w:space="0" w:color="000000"/>
            </w:tcBorders>
          </w:tcPr>
          <w:p>
            <w:pPr>
              <w:pStyle w:val="Style27"/>
              <w:jc w:val="center"/>
              <w:rPr>
                <w:rFonts w:ascii="Times New Roman" w:hAnsi="Times New Roman" w:cs="Times New Roman"/>
                <w:b/>
                <w:sz w:val="28"/>
                <w:szCs w:val="28"/>
              </w:rPr>
            </w:pPr>
            <w:r>
              <w:rPr>
                <w:rFonts w:cs="Times New Roman" w:ascii="Times New Roman" w:hAnsi="Times New Roman"/>
                <w:b/>
                <w:sz w:val="28"/>
                <w:szCs w:val="28"/>
              </w:rPr>
              <w:t>утверждено в муниципальном задании на год</w:t>
            </w:r>
          </w:p>
        </w:tc>
        <w:tc>
          <w:tcPr>
            <w:tcW w:w="2977" w:type="dxa"/>
            <w:tcBorders>
              <w:top w:val="single" w:sz="4" w:space="0" w:color="000000"/>
              <w:left w:val="single" w:sz="4" w:space="0" w:color="000000"/>
              <w:bottom w:val="single" w:sz="4" w:space="0" w:color="000000"/>
              <w:right w:val="single" w:sz="4" w:space="0" w:color="000000"/>
            </w:tcBorders>
          </w:tcPr>
          <w:p>
            <w:pPr>
              <w:pStyle w:val="Normal"/>
              <w:ind w:left="-108" w:right="-108"/>
              <w:jc w:val="center"/>
              <w:rPr>
                <w:rFonts w:ascii="Times New Roman" w:hAnsi="Times New Roman"/>
                <w:b/>
                <w:sz w:val="28"/>
                <w:szCs w:val="28"/>
              </w:rPr>
            </w:pPr>
            <w:r>
              <w:rPr>
                <w:b/>
                <w:sz w:val="28"/>
                <w:szCs w:val="28"/>
              </w:rPr>
              <w:t>исполнено на отчетную дату</w:t>
            </w:r>
          </w:p>
        </w:tc>
      </w:tr>
      <w:tr>
        <w:trPr>
          <w:trHeight w:val="525" w:hRule="atLeast"/>
        </w:trPr>
        <w:tc>
          <w:tcPr>
            <w:tcW w:w="3359" w:type="dxa"/>
            <w:tcBorders>
              <w:top w:val="single" w:sz="4" w:space="0" w:color="000000"/>
              <w:left w:val="single" w:sz="4" w:space="0" w:color="000000"/>
              <w:bottom w:val="single" w:sz="4" w:space="0" w:color="000000"/>
              <w:right w:val="single" w:sz="4" w:space="0" w:color="000000"/>
            </w:tcBorders>
          </w:tcPr>
          <w:p>
            <w:pPr>
              <w:pStyle w:val="Style27"/>
              <w:ind w:left="-24" w:right="0"/>
              <w:jc w:val="both"/>
              <w:rPr>
                <w:rFonts w:ascii="Times New Roman" w:hAnsi="Times New Roman" w:cs="Times New Roman"/>
                <w:b/>
                <w:sz w:val="28"/>
                <w:szCs w:val="28"/>
              </w:rPr>
            </w:pPr>
            <w:r>
              <w:rPr>
                <w:rFonts w:cs="Times New Roman" w:ascii="Times New Roman" w:hAnsi="Times New Roman"/>
                <w:b/>
                <w:sz w:val="28"/>
                <w:szCs w:val="28"/>
              </w:rPr>
              <w:t>Количество посещений в стационаре</w:t>
            </w:r>
          </w:p>
        </w:tc>
        <w:tc>
          <w:tcPr>
            <w:tcW w:w="2854" w:type="dxa"/>
            <w:tcBorders>
              <w:top w:val="single" w:sz="4" w:space="0" w:color="000000"/>
              <w:left w:val="single" w:sz="4" w:space="0" w:color="000000"/>
              <w:bottom w:val="single" w:sz="4" w:space="0" w:color="000000"/>
              <w:right w:val="single" w:sz="4" w:space="0" w:color="000000"/>
            </w:tcBorders>
            <w:vAlign w:val="bottom"/>
          </w:tcPr>
          <w:p>
            <w:pPr>
              <w:pStyle w:val="ConsPlusNormal1"/>
              <w:rPr>
                <w:rFonts w:ascii="Times New Roman" w:hAnsi="Times New Roman" w:cs="Times New Roman"/>
                <w:sz w:val="28"/>
                <w:szCs w:val="28"/>
              </w:rPr>
            </w:pPr>
            <w:r>
              <w:rPr>
                <w:rFonts w:cs="Times New Roman" w:ascii="Times New Roman" w:hAnsi="Times New Roman"/>
                <w:sz w:val="28"/>
                <w:szCs w:val="28"/>
              </w:rPr>
              <w:t>140 010</w:t>
            </w:r>
          </w:p>
        </w:tc>
        <w:tc>
          <w:tcPr>
            <w:tcW w:w="2977" w:type="dxa"/>
            <w:tcBorders>
              <w:top w:val="single" w:sz="4" w:space="0" w:color="000000"/>
              <w:left w:val="single" w:sz="4" w:space="0" w:color="000000"/>
              <w:bottom w:val="single" w:sz="4" w:space="0" w:color="000000"/>
              <w:right w:val="single" w:sz="4" w:space="0" w:color="000000"/>
            </w:tcBorders>
            <w:vAlign w:val="bottom"/>
          </w:tcPr>
          <w:p>
            <w:pPr>
              <w:pStyle w:val="ConsPlusNormal1"/>
              <w:rPr>
                <w:rFonts w:ascii="Times New Roman" w:hAnsi="Times New Roman" w:cs="Times New Roman"/>
                <w:sz w:val="28"/>
                <w:szCs w:val="28"/>
              </w:rPr>
            </w:pPr>
            <w:r>
              <w:rPr>
                <w:rFonts w:cs="Times New Roman" w:ascii="Times New Roman" w:hAnsi="Times New Roman"/>
                <w:sz w:val="28"/>
                <w:szCs w:val="28"/>
              </w:rPr>
              <w:t>140 010</w:t>
            </w:r>
          </w:p>
        </w:tc>
      </w:tr>
      <w:tr>
        <w:trPr>
          <w:trHeight w:val="525" w:hRule="atLeast"/>
        </w:trPr>
        <w:tc>
          <w:tcPr>
            <w:tcW w:w="3359" w:type="dxa"/>
            <w:tcBorders>
              <w:top w:val="single" w:sz="4" w:space="0" w:color="000000"/>
              <w:left w:val="single" w:sz="4" w:space="0" w:color="000000"/>
              <w:bottom w:val="single" w:sz="4" w:space="0" w:color="000000"/>
              <w:right w:val="single" w:sz="4" w:space="0" w:color="000000"/>
            </w:tcBorders>
          </w:tcPr>
          <w:p>
            <w:pPr>
              <w:pStyle w:val="Style27"/>
              <w:jc w:val="both"/>
              <w:rPr>
                <w:rFonts w:ascii="Times New Roman" w:hAnsi="Times New Roman" w:cs="Times New Roman"/>
                <w:b/>
                <w:sz w:val="28"/>
                <w:szCs w:val="28"/>
              </w:rPr>
            </w:pPr>
            <w:r>
              <w:rPr>
                <w:rFonts w:cs="Times New Roman" w:ascii="Times New Roman" w:hAnsi="Times New Roman"/>
                <w:b/>
                <w:sz w:val="28"/>
                <w:szCs w:val="28"/>
              </w:rPr>
              <w:t>Количество посещений вне стационара</w:t>
            </w:r>
          </w:p>
        </w:tc>
        <w:tc>
          <w:tcPr>
            <w:tcW w:w="2854" w:type="dxa"/>
            <w:tcBorders>
              <w:top w:val="single" w:sz="4" w:space="0" w:color="000000"/>
              <w:left w:val="single" w:sz="4" w:space="0" w:color="000000"/>
              <w:bottom w:val="single" w:sz="4" w:space="0" w:color="000000"/>
              <w:right w:val="single" w:sz="4" w:space="0" w:color="000000"/>
            </w:tcBorders>
            <w:vAlign w:val="bottom"/>
          </w:tcPr>
          <w:p>
            <w:pPr>
              <w:pStyle w:val="ConsPlusNormal1"/>
              <w:rPr>
                <w:rFonts w:ascii="Times New Roman" w:hAnsi="Times New Roman"/>
                <w:sz w:val="28"/>
                <w:szCs w:val="28"/>
              </w:rPr>
            </w:pPr>
            <w:r>
              <w:rPr>
                <w:rFonts w:cs="Times New Roman" w:ascii="Times New Roman" w:hAnsi="Times New Roman"/>
                <w:sz w:val="28"/>
                <w:szCs w:val="28"/>
              </w:rPr>
              <w:t>4 500</w:t>
            </w:r>
          </w:p>
        </w:tc>
        <w:tc>
          <w:tcPr>
            <w:tcW w:w="2977" w:type="dxa"/>
            <w:tcBorders>
              <w:top w:val="single" w:sz="4" w:space="0" w:color="000000"/>
              <w:left w:val="single" w:sz="4" w:space="0" w:color="000000"/>
              <w:bottom w:val="single" w:sz="4" w:space="0" w:color="000000"/>
              <w:right w:val="single" w:sz="4" w:space="0" w:color="000000"/>
            </w:tcBorders>
            <w:vAlign w:val="bottom"/>
          </w:tcPr>
          <w:p>
            <w:pPr>
              <w:pStyle w:val="ConsPlusNormal1"/>
              <w:rPr>
                <w:rFonts w:ascii="Times New Roman" w:hAnsi="Times New Roman"/>
                <w:sz w:val="28"/>
                <w:szCs w:val="28"/>
              </w:rPr>
            </w:pPr>
            <w:r>
              <w:rPr>
                <w:rFonts w:cs="Times New Roman" w:ascii="Times New Roman" w:hAnsi="Times New Roman"/>
                <w:sz w:val="28"/>
                <w:szCs w:val="28"/>
              </w:rPr>
              <w:t>4 500</w:t>
            </w:r>
          </w:p>
        </w:tc>
      </w:tr>
      <w:tr>
        <w:trPr>
          <w:trHeight w:val="525" w:hRule="atLeast"/>
        </w:trPr>
        <w:tc>
          <w:tcPr>
            <w:tcW w:w="3359" w:type="dxa"/>
            <w:tcBorders>
              <w:top w:val="single" w:sz="4" w:space="0" w:color="000000"/>
              <w:left w:val="single" w:sz="4" w:space="0" w:color="000000"/>
              <w:bottom w:val="single" w:sz="4" w:space="0" w:color="000000"/>
              <w:right w:val="single" w:sz="4" w:space="0" w:color="000000"/>
            </w:tcBorders>
          </w:tcPr>
          <w:p>
            <w:pPr>
              <w:pStyle w:val="Style27"/>
              <w:ind w:left="-24" w:right="0"/>
              <w:jc w:val="both"/>
              <w:rPr>
                <w:rFonts w:ascii="Times New Roman" w:hAnsi="Times New Roman" w:cs="Times New Roman"/>
                <w:b/>
                <w:sz w:val="28"/>
                <w:szCs w:val="28"/>
              </w:rPr>
            </w:pPr>
            <w:r>
              <w:rPr>
                <w:rFonts w:cs="Times New Roman" w:ascii="Times New Roman" w:hAnsi="Times New Roman"/>
                <w:b/>
                <w:sz w:val="28"/>
                <w:szCs w:val="28"/>
              </w:rPr>
              <w:t>Количество посещений удаленно через Интернет</w:t>
            </w:r>
          </w:p>
        </w:tc>
        <w:tc>
          <w:tcPr>
            <w:tcW w:w="2854" w:type="dxa"/>
            <w:tcBorders>
              <w:top w:val="single" w:sz="4" w:space="0" w:color="000000"/>
              <w:left w:val="single" w:sz="4" w:space="0" w:color="000000"/>
              <w:bottom w:val="single" w:sz="4" w:space="0" w:color="000000"/>
              <w:right w:val="single" w:sz="4" w:space="0" w:color="000000"/>
            </w:tcBorders>
            <w:vAlign w:val="bottom"/>
          </w:tcPr>
          <w:p>
            <w:pPr>
              <w:pStyle w:val="ConsPlusNormal1"/>
              <w:rPr>
                <w:rFonts w:ascii="Times New Roman" w:hAnsi="Times New Roman"/>
                <w:sz w:val="28"/>
                <w:szCs w:val="28"/>
              </w:rPr>
            </w:pPr>
            <w:r>
              <w:rPr>
                <w:rFonts w:cs="Times New Roman" w:ascii="Times New Roman" w:hAnsi="Times New Roman"/>
                <w:sz w:val="28"/>
                <w:szCs w:val="28"/>
              </w:rPr>
              <w:t>33000</w:t>
            </w:r>
          </w:p>
        </w:tc>
        <w:tc>
          <w:tcPr>
            <w:tcW w:w="2977" w:type="dxa"/>
            <w:tcBorders>
              <w:top w:val="single" w:sz="4" w:space="0" w:color="000000"/>
              <w:left w:val="single" w:sz="4" w:space="0" w:color="000000"/>
              <w:bottom w:val="single" w:sz="4" w:space="0" w:color="000000"/>
              <w:right w:val="single" w:sz="4" w:space="0" w:color="000000"/>
            </w:tcBorders>
            <w:vAlign w:val="bottom"/>
          </w:tcPr>
          <w:p>
            <w:pPr>
              <w:pStyle w:val="ConsPlusNormal1"/>
              <w:rPr>
                <w:rFonts w:ascii="Times New Roman" w:hAnsi="Times New Roman"/>
                <w:sz w:val="28"/>
                <w:szCs w:val="28"/>
              </w:rPr>
            </w:pPr>
            <w:r>
              <w:rPr>
                <w:rFonts w:cs="Times New Roman" w:ascii="Times New Roman" w:hAnsi="Times New Roman"/>
                <w:sz w:val="28"/>
                <w:szCs w:val="28"/>
              </w:rPr>
              <w:t>33000</w:t>
            </w:r>
          </w:p>
        </w:tc>
      </w:tr>
    </w:tbl>
    <w:p>
      <w:pPr>
        <w:pStyle w:val="Normal"/>
        <w:jc w:val="center"/>
        <w:rPr>
          <w:rFonts w:ascii="Times New Roman" w:hAnsi="Times New Roman"/>
          <w:b/>
          <w:color w:val="365F91"/>
          <w:sz w:val="28"/>
          <w:szCs w:val="28"/>
        </w:rPr>
      </w:pPr>
      <w:r>
        <w:rPr>
          <w:b/>
          <w:color w:val="365F91"/>
          <w:sz w:val="28"/>
          <w:szCs w:val="28"/>
        </w:rPr>
        <w:t>Относительные показатели деятельности библиотек района:</w:t>
      </w:r>
    </w:p>
    <w:tbl>
      <w:tblPr>
        <w:tblW w:w="9059" w:type="dxa"/>
        <w:jc w:val="left"/>
        <w:tblInd w:w="0" w:type="dxa"/>
        <w:tblLayout w:type="fixed"/>
        <w:tblCellMar>
          <w:top w:w="0" w:type="dxa"/>
          <w:left w:w="40" w:type="dxa"/>
          <w:bottom w:w="0" w:type="dxa"/>
          <w:right w:w="40" w:type="dxa"/>
        </w:tblCellMar>
      </w:tblPr>
      <w:tblGrid>
        <w:gridCol w:w="2917"/>
        <w:gridCol w:w="2269"/>
        <w:gridCol w:w="3873"/>
      </w:tblGrid>
      <w:tr>
        <w:trPr>
          <w:trHeight w:val="467" w:hRule="exact"/>
        </w:trPr>
        <w:tc>
          <w:tcPr>
            <w:tcW w:w="2917" w:type="dxa"/>
            <w:tcBorders>
              <w:top w:val="single" w:sz="6" w:space="0" w:color="000000"/>
              <w:left w:val="single" w:sz="6" w:space="0" w:color="000000"/>
              <w:bottom w:val="single" w:sz="6" w:space="0" w:color="000000"/>
              <w:right w:val="single" w:sz="6" w:space="0" w:color="000000"/>
            </w:tcBorders>
            <w:shd w:fill="FFFFFF" w:val="clear"/>
          </w:tcPr>
          <w:p>
            <w:pPr>
              <w:pStyle w:val="Normal"/>
              <w:jc w:val="both"/>
              <w:rPr>
                <w:rFonts w:ascii="Times New Roman" w:hAnsi="Times New Roman"/>
                <w:b/>
                <w:sz w:val="28"/>
                <w:szCs w:val="28"/>
              </w:rPr>
            </w:pPr>
            <w:r>
              <w:rPr>
                <w:b/>
                <w:sz w:val="28"/>
                <w:szCs w:val="28"/>
              </w:rPr>
              <w:t>Показатели</w:t>
            </w:r>
          </w:p>
        </w:tc>
        <w:tc>
          <w:tcPr>
            <w:tcW w:w="2269" w:type="dxa"/>
            <w:tcBorders>
              <w:top w:val="single" w:sz="6" w:space="0" w:color="000000"/>
              <w:left w:val="single" w:sz="6" w:space="0" w:color="000000"/>
              <w:bottom w:val="single" w:sz="6" w:space="0" w:color="000000"/>
              <w:right w:val="single" w:sz="6" w:space="0" w:color="000000"/>
            </w:tcBorders>
            <w:shd w:fill="FFFFFF" w:val="clear"/>
          </w:tcPr>
          <w:p>
            <w:pPr>
              <w:pStyle w:val="Normal"/>
              <w:jc w:val="center"/>
              <w:rPr>
                <w:rFonts w:ascii="Times New Roman" w:hAnsi="Times New Roman"/>
                <w:sz w:val="28"/>
                <w:szCs w:val="28"/>
              </w:rPr>
            </w:pPr>
            <w:r>
              <w:rPr>
                <w:b/>
                <w:bCs/>
                <w:sz w:val="28"/>
                <w:szCs w:val="28"/>
              </w:rPr>
              <w:t>2024г.</w:t>
            </w:r>
          </w:p>
          <w:p>
            <w:pPr>
              <w:pStyle w:val="Normal"/>
              <w:jc w:val="center"/>
              <w:rPr>
                <w:rFonts w:ascii="Times New Roman" w:hAnsi="Times New Roman"/>
                <w:b/>
                <w:bCs/>
                <w:sz w:val="28"/>
                <w:szCs w:val="28"/>
              </w:rPr>
            </w:pPr>
            <w:r>
              <w:rPr>
                <w:b/>
                <w:bCs/>
                <w:sz w:val="28"/>
                <w:szCs w:val="28"/>
              </w:rPr>
            </w:r>
          </w:p>
        </w:tc>
        <w:tc>
          <w:tcPr>
            <w:tcW w:w="3873" w:type="dxa"/>
            <w:tcBorders>
              <w:top w:val="single" w:sz="6" w:space="0" w:color="000000"/>
              <w:left w:val="single" w:sz="6" w:space="0" w:color="000000"/>
              <w:bottom w:val="single" w:sz="6" w:space="0" w:color="000000"/>
              <w:right w:val="single" w:sz="6" w:space="0" w:color="000000"/>
            </w:tcBorders>
            <w:shd w:fill="FFFFFF" w:val="clear"/>
          </w:tcPr>
          <w:p>
            <w:pPr>
              <w:pStyle w:val="Normal"/>
              <w:jc w:val="center"/>
              <w:rPr>
                <w:rFonts w:ascii="Times New Roman" w:hAnsi="Times New Roman"/>
                <w:sz w:val="28"/>
                <w:szCs w:val="28"/>
              </w:rPr>
            </w:pPr>
            <w:r>
              <w:rPr>
                <w:b/>
                <w:bCs/>
                <w:sz w:val="28"/>
                <w:szCs w:val="28"/>
              </w:rPr>
              <w:t>2025г.</w:t>
            </w:r>
          </w:p>
        </w:tc>
      </w:tr>
      <w:tr>
        <w:trPr>
          <w:trHeight w:val="376" w:hRule="exact"/>
        </w:trPr>
        <w:tc>
          <w:tcPr>
            <w:tcW w:w="2917" w:type="dxa"/>
            <w:tcBorders>
              <w:top w:val="single" w:sz="6" w:space="0" w:color="000000"/>
              <w:left w:val="single" w:sz="6" w:space="0" w:color="000000"/>
              <w:bottom w:val="single" w:sz="6" w:space="0" w:color="000000"/>
              <w:right w:val="single" w:sz="6" w:space="0" w:color="000000"/>
            </w:tcBorders>
            <w:shd w:fill="FFFFFF" w:val="clear"/>
          </w:tcPr>
          <w:p>
            <w:pPr>
              <w:pStyle w:val="Normal"/>
              <w:jc w:val="both"/>
              <w:rPr>
                <w:rFonts w:ascii="Times New Roman" w:hAnsi="Times New Roman"/>
                <w:bCs/>
                <w:sz w:val="28"/>
                <w:szCs w:val="28"/>
              </w:rPr>
            </w:pPr>
            <w:r>
              <w:rPr>
                <w:bCs/>
                <w:sz w:val="28"/>
                <w:szCs w:val="28"/>
              </w:rPr>
              <w:t>Обращаемость</w:t>
            </w:r>
          </w:p>
          <w:p>
            <w:pPr>
              <w:pStyle w:val="Normal"/>
              <w:jc w:val="both"/>
              <w:rPr>
                <w:rFonts w:ascii="Times New Roman" w:hAnsi="Times New Roman"/>
                <w:bCs/>
                <w:sz w:val="28"/>
                <w:szCs w:val="28"/>
              </w:rPr>
            </w:pPr>
            <w:r>
              <w:rPr>
                <w:bCs/>
                <w:sz w:val="28"/>
                <w:szCs w:val="28"/>
              </w:rPr>
            </w:r>
          </w:p>
          <w:p>
            <w:pPr>
              <w:pStyle w:val="Normal"/>
              <w:jc w:val="both"/>
              <w:rPr>
                <w:rFonts w:ascii="Times New Roman" w:hAnsi="Times New Roman"/>
                <w:sz w:val="28"/>
                <w:szCs w:val="28"/>
              </w:rPr>
            </w:pPr>
            <w:r>
              <w:rPr>
                <w:sz w:val="28"/>
                <w:szCs w:val="28"/>
              </w:rPr>
            </w:r>
          </w:p>
        </w:tc>
        <w:tc>
          <w:tcPr>
            <w:tcW w:w="2269" w:type="dxa"/>
            <w:tcBorders>
              <w:top w:val="single" w:sz="6" w:space="0" w:color="000000"/>
              <w:left w:val="single" w:sz="6" w:space="0" w:color="000000"/>
              <w:bottom w:val="single" w:sz="6" w:space="0" w:color="000000"/>
              <w:right w:val="single" w:sz="6" w:space="0" w:color="000000"/>
            </w:tcBorders>
            <w:shd w:fill="FFFFFF" w:val="clear"/>
          </w:tcPr>
          <w:p>
            <w:pPr>
              <w:pStyle w:val="Normal"/>
              <w:jc w:val="center"/>
              <w:rPr>
                <w:rFonts w:ascii="Times New Roman" w:hAnsi="Times New Roman"/>
                <w:bCs/>
                <w:sz w:val="28"/>
                <w:szCs w:val="28"/>
              </w:rPr>
            </w:pPr>
            <w:r>
              <w:rPr>
                <w:bCs/>
                <w:sz w:val="28"/>
                <w:szCs w:val="28"/>
              </w:rPr>
              <w:t>1,1.</w:t>
            </w:r>
          </w:p>
        </w:tc>
        <w:tc>
          <w:tcPr>
            <w:tcW w:w="3873" w:type="dxa"/>
            <w:tcBorders>
              <w:top w:val="single" w:sz="6" w:space="0" w:color="000000"/>
              <w:left w:val="single" w:sz="6" w:space="0" w:color="000000"/>
              <w:bottom w:val="single" w:sz="6" w:space="0" w:color="000000"/>
              <w:right w:val="single" w:sz="6" w:space="0" w:color="000000"/>
            </w:tcBorders>
            <w:shd w:fill="FFFFFF" w:val="clear"/>
          </w:tcPr>
          <w:p>
            <w:pPr>
              <w:pStyle w:val="Normal"/>
              <w:jc w:val="center"/>
              <w:rPr>
                <w:rFonts w:ascii="Times New Roman" w:hAnsi="Times New Roman"/>
                <w:bCs/>
                <w:sz w:val="28"/>
                <w:szCs w:val="28"/>
              </w:rPr>
            </w:pPr>
            <w:r>
              <w:rPr>
                <w:bCs/>
                <w:sz w:val="28"/>
                <w:szCs w:val="28"/>
              </w:rPr>
              <w:t>1,2</w:t>
            </w:r>
          </w:p>
        </w:tc>
      </w:tr>
      <w:tr>
        <w:trPr>
          <w:trHeight w:val="300" w:hRule="exact"/>
        </w:trPr>
        <w:tc>
          <w:tcPr>
            <w:tcW w:w="2917" w:type="dxa"/>
            <w:tcBorders>
              <w:top w:val="single" w:sz="6" w:space="0" w:color="000000"/>
              <w:left w:val="single" w:sz="6" w:space="0" w:color="000000"/>
              <w:bottom w:val="single" w:sz="6" w:space="0" w:color="000000"/>
              <w:right w:val="single" w:sz="6" w:space="0" w:color="000000"/>
            </w:tcBorders>
            <w:shd w:fill="FFFFFF" w:val="clear"/>
          </w:tcPr>
          <w:p>
            <w:pPr>
              <w:pStyle w:val="Normal"/>
              <w:jc w:val="both"/>
              <w:rPr>
                <w:rFonts w:ascii="Times New Roman" w:hAnsi="Times New Roman"/>
                <w:bCs/>
                <w:sz w:val="28"/>
                <w:szCs w:val="28"/>
              </w:rPr>
            </w:pPr>
            <w:r>
              <w:rPr>
                <w:bCs/>
                <w:sz w:val="28"/>
                <w:szCs w:val="28"/>
              </w:rPr>
              <w:t>Читаемость</w:t>
            </w:r>
          </w:p>
          <w:p>
            <w:pPr>
              <w:pStyle w:val="Normal"/>
              <w:jc w:val="both"/>
              <w:rPr>
                <w:rFonts w:ascii="Times New Roman" w:hAnsi="Times New Roman"/>
                <w:bCs/>
                <w:sz w:val="28"/>
                <w:szCs w:val="28"/>
              </w:rPr>
            </w:pPr>
            <w:r>
              <w:rPr>
                <w:bCs/>
                <w:sz w:val="28"/>
                <w:szCs w:val="28"/>
              </w:rPr>
            </w:r>
          </w:p>
          <w:p>
            <w:pPr>
              <w:pStyle w:val="Normal"/>
              <w:jc w:val="both"/>
              <w:rPr>
                <w:rFonts w:ascii="Times New Roman" w:hAnsi="Times New Roman"/>
                <w:bCs/>
                <w:sz w:val="28"/>
                <w:szCs w:val="28"/>
              </w:rPr>
            </w:pPr>
            <w:r>
              <w:rPr>
                <w:bCs/>
                <w:sz w:val="28"/>
                <w:szCs w:val="28"/>
              </w:rPr>
            </w:r>
          </w:p>
          <w:p>
            <w:pPr>
              <w:pStyle w:val="Normal"/>
              <w:jc w:val="both"/>
              <w:rPr>
                <w:rFonts w:ascii="Times New Roman" w:hAnsi="Times New Roman"/>
                <w:bCs/>
                <w:sz w:val="28"/>
                <w:szCs w:val="28"/>
              </w:rPr>
            </w:pPr>
            <w:r>
              <w:rPr>
                <w:bCs/>
                <w:sz w:val="28"/>
                <w:szCs w:val="28"/>
              </w:rPr>
            </w:r>
          </w:p>
          <w:p>
            <w:pPr>
              <w:pStyle w:val="Normal"/>
              <w:jc w:val="both"/>
              <w:rPr>
                <w:rFonts w:ascii="Times New Roman" w:hAnsi="Times New Roman"/>
                <w:bCs/>
                <w:sz w:val="28"/>
                <w:szCs w:val="28"/>
              </w:rPr>
            </w:pPr>
            <w:r>
              <w:rPr>
                <w:bCs/>
                <w:sz w:val="28"/>
                <w:szCs w:val="28"/>
              </w:rPr>
            </w:r>
          </w:p>
          <w:p>
            <w:pPr>
              <w:pStyle w:val="Normal"/>
              <w:jc w:val="both"/>
              <w:rPr>
                <w:rFonts w:ascii="Times New Roman" w:hAnsi="Times New Roman"/>
                <w:bCs/>
                <w:sz w:val="28"/>
                <w:szCs w:val="28"/>
              </w:rPr>
            </w:pPr>
            <w:r>
              <w:rPr>
                <w:bCs/>
                <w:sz w:val="28"/>
                <w:szCs w:val="28"/>
              </w:rPr>
            </w:r>
          </w:p>
          <w:p>
            <w:pPr>
              <w:pStyle w:val="Normal"/>
              <w:jc w:val="both"/>
              <w:rPr>
                <w:rFonts w:ascii="Times New Roman" w:hAnsi="Times New Roman"/>
                <w:bCs/>
                <w:sz w:val="28"/>
                <w:szCs w:val="28"/>
              </w:rPr>
            </w:pPr>
            <w:r>
              <w:rPr>
                <w:bCs/>
                <w:sz w:val="28"/>
                <w:szCs w:val="28"/>
              </w:rPr>
            </w:r>
          </w:p>
          <w:p>
            <w:pPr>
              <w:pStyle w:val="Normal"/>
              <w:jc w:val="both"/>
              <w:rPr>
                <w:rFonts w:ascii="Times New Roman" w:hAnsi="Times New Roman"/>
                <w:bCs/>
                <w:sz w:val="28"/>
                <w:szCs w:val="28"/>
              </w:rPr>
            </w:pPr>
            <w:r>
              <w:rPr>
                <w:bCs/>
                <w:sz w:val="28"/>
                <w:szCs w:val="28"/>
              </w:rPr>
            </w:r>
          </w:p>
          <w:p>
            <w:pPr>
              <w:pStyle w:val="Normal"/>
              <w:jc w:val="both"/>
              <w:rPr>
                <w:rFonts w:ascii="Times New Roman" w:hAnsi="Times New Roman"/>
                <w:bCs/>
                <w:sz w:val="28"/>
                <w:szCs w:val="28"/>
              </w:rPr>
            </w:pPr>
            <w:r>
              <w:rPr>
                <w:bCs/>
                <w:sz w:val="28"/>
                <w:szCs w:val="28"/>
              </w:rPr>
            </w:r>
          </w:p>
          <w:p>
            <w:pPr>
              <w:pStyle w:val="Normal"/>
              <w:jc w:val="both"/>
              <w:rPr>
                <w:rFonts w:ascii="Times New Roman" w:hAnsi="Times New Roman"/>
                <w:bCs/>
                <w:sz w:val="28"/>
                <w:szCs w:val="28"/>
              </w:rPr>
            </w:pPr>
            <w:r>
              <w:rPr>
                <w:bCs/>
                <w:sz w:val="28"/>
                <w:szCs w:val="28"/>
              </w:rPr>
            </w:r>
          </w:p>
          <w:p>
            <w:pPr>
              <w:pStyle w:val="Normal"/>
              <w:jc w:val="both"/>
              <w:rPr>
                <w:rFonts w:ascii="Times New Roman" w:hAnsi="Times New Roman"/>
                <w:sz w:val="28"/>
                <w:szCs w:val="28"/>
              </w:rPr>
            </w:pPr>
            <w:r>
              <w:rPr>
                <w:sz w:val="28"/>
                <w:szCs w:val="28"/>
              </w:rPr>
            </w:r>
          </w:p>
        </w:tc>
        <w:tc>
          <w:tcPr>
            <w:tcW w:w="2269" w:type="dxa"/>
            <w:tcBorders>
              <w:top w:val="single" w:sz="6" w:space="0" w:color="000000"/>
              <w:left w:val="single" w:sz="6" w:space="0" w:color="000000"/>
              <w:bottom w:val="single" w:sz="6" w:space="0" w:color="000000"/>
              <w:right w:val="single" w:sz="6" w:space="0" w:color="000000"/>
            </w:tcBorders>
            <w:shd w:fill="FFFFFF" w:val="clear"/>
          </w:tcPr>
          <w:p>
            <w:pPr>
              <w:pStyle w:val="Normal"/>
              <w:jc w:val="center"/>
              <w:rPr>
                <w:rFonts w:ascii="Times New Roman" w:hAnsi="Times New Roman"/>
                <w:bCs/>
                <w:sz w:val="28"/>
                <w:szCs w:val="28"/>
              </w:rPr>
            </w:pPr>
            <w:r>
              <w:rPr>
                <w:bCs/>
                <w:sz w:val="28"/>
                <w:szCs w:val="28"/>
              </w:rPr>
              <w:t>23</w:t>
            </w:r>
          </w:p>
        </w:tc>
        <w:tc>
          <w:tcPr>
            <w:tcW w:w="3873" w:type="dxa"/>
            <w:tcBorders>
              <w:top w:val="single" w:sz="6" w:space="0" w:color="000000"/>
              <w:left w:val="single" w:sz="6" w:space="0" w:color="000000"/>
              <w:bottom w:val="single" w:sz="6" w:space="0" w:color="000000"/>
              <w:right w:val="single" w:sz="6" w:space="0" w:color="000000"/>
            </w:tcBorders>
            <w:shd w:fill="FFFFFF" w:val="clear"/>
          </w:tcPr>
          <w:p>
            <w:pPr>
              <w:pStyle w:val="Normal"/>
              <w:jc w:val="center"/>
              <w:rPr>
                <w:rFonts w:ascii="Times New Roman" w:hAnsi="Times New Roman"/>
                <w:bCs/>
                <w:sz w:val="28"/>
                <w:szCs w:val="28"/>
              </w:rPr>
            </w:pPr>
            <w:r>
              <w:rPr>
                <w:bCs/>
                <w:sz w:val="28"/>
                <w:szCs w:val="28"/>
              </w:rPr>
              <w:t>24,1</w:t>
            </w:r>
          </w:p>
        </w:tc>
      </w:tr>
      <w:tr>
        <w:trPr>
          <w:trHeight w:val="422" w:hRule="exact"/>
        </w:trPr>
        <w:tc>
          <w:tcPr>
            <w:tcW w:w="2917" w:type="dxa"/>
            <w:tcBorders>
              <w:top w:val="single" w:sz="6" w:space="0" w:color="000000"/>
              <w:left w:val="single" w:sz="6" w:space="0" w:color="000000"/>
              <w:bottom w:val="single" w:sz="6" w:space="0" w:color="000000"/>
              <w:right w:val="single" w:sz="6" w:space="0" w:color="000000"/>
            </w:tcBorders>
          </w:tcPr>
          <w:p>
            <w:pPr>
              <w:pStyle w:val="Normal"/>
              <w:jc w:val="both"/>
              <w:rPr>
                <w:rFonts w:ascii="Times New Roman" w:hAnsi="Times New Roman"/>
                <w:bCs/>
                <w:sz w:val="28"/>
                <w:szCs w:val="28"/>
              </w:rPr>
            </w:pPr>
            <w:r>
              <w:rPr>
                <w:bCs/>
                <w:sz w:val="28"/>
                <w:szCs w:val="28"/>
              </w:rPr>
              <w:t>Посещаемость</w:t>
            </w:r>
          </w:p>
          <w:p>
            <w:pPr>
              <w:pStyle w:val="Normal"/>
              <w:jc w:val="both"/>
              <w:rPr>
                <w:rFonts w:ascii="Times New Roman" w:hAnsi="Times New Roman"/>
                <w:bCs/>
                <w:sz w:val="28"/>
                <w:szCs w:val="28"/>
              </w:rPr>
            </w:pPr>
            <w:r>
              <w:rPr>
                <w:bCs/>
                <w:sz w:val="28"/>
                <w:szCs w:val="28"/>
              </w:rPr>
            </w:r>
          </w:p>
        </w:tc>
        <w:tc>
          <w:tcPr>
            <w:tcW w:w="2269" w:type="dxa"/>
            <w:tcBorders>
              <w:top w:val="single" w:sz="6" w:space="0" w:color="000000"/>
              <w:left w:val="single" w:sz="6" w:space="0" w:color="000000"/>
              <w:bottom w:val="single" w:sz="6" w:space="0" w:color="000000"/>
              <w:right w:val="single" w:sz="6" w:space="0" w:color="000000"/>
            </w:tcBorders>
          </w:tcPr>
          <w:p>
            <w:pPr>
              <w:pStyle w:val="Normal"/>
              <w:jc w:val="center"/>
              <w:rPr>
                <w:rFonts w:ascii="Times New Roman" w:hAnsi="Times New Roman"/>
                <w:bCs/>
                <w:sz w:val="28"/>
                <w:szCs w:val="28"/>
              </w:rPr>
            </w:pPr>
            <w:r>
              <w:rPr>
                <w:bCs/>
                <w:sz w:val="28"/>
                <w:szCs w:val="28"/>
              </w:rPr>
              <w:t>16</w:t>
            </w:r>
          </w:p>
        </w:tc>
        <w:tc>
          <w:tcPr>
            <w:tcW w:w="3873" w:type="dxa"/>
            <w:tcBorders>
              <w:top w:val="single" w:sz="6" w:space="0" w:color="000000"/>
              <w:left w:val="single" w:sz="6" w:space="0" w:color="000000"/>
              <w:bottom w:val="single" w:sz="6" w:space="0" w:color="000000"/>
              <w:right w:val="single" w:sz="6" w:space="0" w:color="000000"/>
            </w:tcBorders>
          </w:tcPr>
          <w:p>
            <w:pPr>
              <w:pStyle w:val="Normal"/>
              <w:jc w:val="center"/>
              <w:rPr>
                <w:rFonts w:ascii="Times New Roman" w:hAnsi="Times New Roman"/>
                <w:bCs/>
                <w:sz w:val="28"/>
                <w:szCs w:val="28"/>
              </w:rPr>
            </w:pPr>
            <w:r>
              <w:rPr>
                <w:bCs/>
                <w:sz w:val="28"/>
                <w:szCs w:val="28"/>
              </w:rPr>
              <w:t>20,5</w:t>
            </w:r>
          </w:p>
        </w:tc>
      </w:tr>
    </w:tbl>
    <w:p>
      <w:pPr>
        <w:pStyle w:val="Normal"/>
        <w:ind w:firstLine="567" w:right="0"/>
        <w:jc w:val="center"/>
        <w:rPr>
          <w:rFonts w:ascii="Times New Roman" w:hAnsi="Times New Roman"/>
          <w:b/>
          <w:sz w:val="28"/>
          <w:szCs w:val="28"/>
        </w:rPr>
      </w:pPr>
      <w:r>
        <w:rPr>
          <w:b/>
          <w:sz w:val="28"/>
          <w:szCs w:val="28"/>
        </w:rPr>
      </w:r>
    </w:p>
    <w:p>
      <w:pPr>
        <w:pStyle w:val="Normal"/>
        <w:ind w:firstLine="567" w:right="0"/>
        <w:jc w:val="center"/>
        <w:rPr>
          <w:rFonts w:ascii="Times New Roman" w:hAnsi="Times New Roman"/>
          <w:sz w:val="28"/>
          <w:szCs w:val="28"/>
        </w:rPr>
      </w:pPr>
      <w:r>
        <w:rPr>
          <w:b/>
          <w:sz w:val="28"/>
          <w:szCs w:val="28"/>
        </w:rPr>
        <w:t>Оказание платных услуг</w:t>
      </w:r>
      <w:r>
        <w:rPr>
          <w:b/>
          <w:color w:val="365F91"/>
          <w:sz w:val="28"/>
          <w:szCs w:val="28"/>
        </w:rPr>
        <w:t xml:space="preserve">. </w:t>
      </w:r>
    </w:p>
    <w:p>
      <w:pPr>
        <w:pStyle w:val="Normal"/>
        <w:jc w:val="both"/>
        <w:rPr>
          <w:rFonts w:ascii="Times New Roman" w:hAnsi="Times New Roman" w:eastAsia="Calibri"/>
          <w:sz w:val="28"/>
          <w:szCs w:val="28"/>
        </w:rPr>
      </w:pPr>
      <w:r>
        <w:rPr>
          <w:rFonts w:eastAsia="Calibri"/>
          <w:sz w:val="28"/>
          <w:szCs w:val="28"/>
        </w:rPr>
        <w:t xml:space="preserve">     </w:t>
      </w:r>
      <w:r>
        <w:rPr>
          <w:rFonts w:eastAsia="Calibri"/>
          <w:sz w:val="28"/>
          <w:szCs w:val="28"/>
        </w:rPr>
        <w:t>Платные услуги, оказываемые библиотеками МБУК ЦБС заинтересованным пользователям, являются формой инициативной хозяйственной деятельности и реализуются без снижения объема и качества основных показателей по бесплатному библиотечному обслуживанию населения.</w:t>
      </w:r>
    </w:p>
    <w:p>
      <w:pPr>
        <w:pStyle w:val="Normal"/>
        <w:jc w:val="both"/>
        <w:rPr>
          <w:rFonts w:ascii="Times New Roman" w:hAnsi="Times New Roman" w:eastAsia="Calibri"/>
          <w:sz w:val="28"/>
          <w:szCs w:val="28"/>
        </w:rPr>
      </w:pPr>
      <w:r>
        <w:rPr>
          <w:rFonts w:eastAsia="Calibri"/>
          <w:sz w:val="28"/>
          <w:szCs w:val="28"/>
        </w:rPr>
        <w:t>В этом году библиотека стала участником программы</w:t>
      </w:r>
      <w:r>
        <w:rPr>
          <w:rFonts w:eastAsia="Calibri"/>
          <w:b/>
          <w:color w:val="2D2D2D"/>
          <w:sz w:val="28"/>
          <w:szCs w:val="28"/>
        </w:rPr>
        <w:t xml:space="preserve"> «Пушкинская карта».</w:t>
      </w:r>
      <w:r>
        <w:rPr>
          <w:rFonts w:eastAsia="Calibri"/>
          <w:bCs/>
          <w:sz w:val="28"/>
          <w:szCs w:val="28"/>
        </w:rPr>
        <w:t xml:space="preserve"> Это уникальная программа, позволившая молодежи посещать разнообразные культурные мероприятия за счет выделяемых государством средств. В настоящее время продумываются и разрабатываются формы проведения и тематика мероприятий, которые смогут заинтересовать молодых читателей в следующем году. </w:t>
      </w:r>
      <w:r>
        <w:rPr>
          <w:rFonts w:eastAsia="Calibri"/>
          <w:sz w:val="28"/>
          <w:szCs w:val="28"/>
        </w:rPr>
        <w:t>Несомненно, уже сейчас можно сказать, что</w:t>
      </w:r>
      <w:r>
        <w:rPr>
          <w:rFonts w:eastAsia="Calibri"/>
          <w:bCs/>
          <w:sz w:val="28"/>
          <w:szCs w:val="28"/>
        </w:rPr>
        <w:t xml:space="preserve"> проект «Пушкинская карта»</w:t>
      </w:r>
      <w:r>
        <w:rPr>
          <w:rFonts w:eastAsia="Calibri"/>
          <w:sz w:val="28"/>
          <w:szCs w:val="28"/>
        </w:rPr>
        <w:t xml:space="preserve"> имеет немалый потенциал развития и ее необходимо распространять среди большего числа пользователей. Этот проект поднял статус библиотеки на новый уровень. Мы уверены, что </w:t>
      </w:r>
      <w:r>
        <w:rPr>
          <w:rFonts w:eastAsia="Calibri"/>
          <w:bCs/>
          <w:sz w:val="28"/>
          <w:szCs w:val="28"/>
        </w:rPr>
        <w:t>миссия библиотеки при этом не изменилась, а лишь приобрела новую глубину и содержание, получила новый потенциал.</w:t>
      </w:r>
    </w:p>
    <w:p>
      <w:pPr>
        <w:pStyle w:val="Normal"/>
        <w:jc w:val="both"/>
        <w:rPr>
          <w:rFonts w:ascii="Times New Roman" w:hAnsi="Times New Roman" w:eastAsia="Calibri"/>
          <w:bCs/>
          <w:sz w:val="28"/>
          <w:szCs w:val="28"/>
        </w:rPr>
      </w:pPr>
      <w:r>
        <w:rPr>
          <w:rFonts w:eastAsia="Calibri"/>
          <w:bCs/>
          <w:sz w:val="28"/>
          <w:szCs w:val="28"/>
        </w:rPr>
      </w:r>
    </w:p>
    <w:tbl>
      <w:tblPr>
        <w:tblW w:w="9883" w:type="dxa"/>
        <w:jc w:val="left"/>
        <w:tblInd w:w="0" w:type="dxa"/>
        <w:tblLayout w:type="fixed"/>
        <w:tblCellMar>
          <w:top w:w="0" w:type="dxa"/>
          <w:left w:w="108" w:type="dxa"/>
          <w:bottom w:w="0" w:type="dxa"/>
          <w:right w:w="108" w:type="dxa"/>
        </w:tblCellMar>
      </w:tblPr>
      <w:tblGrid>
        <w:gridCol w:w="2429"/>
        <w:gridCol w:w="1539"/>
        <w:gridCol w:w="2235"/>
        <w:gridCol w:w="2268"/>
        <w:gridCol w:w="1412"/>
      </w:tblGrid>
      <w:tr>
        <w:trPr>
          <w:trHeight w:val="390" w:hRule="atLeast"/>
        </w:trPr>
        <w:tc>
          <w:tcPr>
            <w:tcW w:w="2429" w:type="dxa"/>
            <w:vMerge w:val="restart"/>
            <w:tcBorders>
              <w:top w:val="single" w:sz="4" w:space="0" w:color="000000"/>
              <w:left w:val="single" w:sz="4" w:space="0" w:color="000000"/>
              <w:bottom w:val="single" w:sz="4" w:space="0" w:color="000000"/>
              <w:right w:val="single" w:sz="4" w:space="0" w:color="000000"/>
            </w:tcBorders>
            <w:shd w:fill="B8CCE4" w:val="clear"/>
          </w:tcPr>
          <w:p>
            <w:pPr>
              <w:pStyle w:val="Normal"/>
              <w:tabs>
                <w:tab w:val="clear" w:pos="708"/>
                <w:tab w:val="center" w:pos="4677" w:leader="none"/>
                <w:tab w:val="right" w:pos="9355" w:leader="none"/>
              </w:tabs>
              <w:snapToGrid w:val="false"/>
              <w:jc w:val="center"/>
              <w:rPr>
                <w:rFonts w:ascii="Times New Roman" w:hAnsi="Times New Roman"/>
                <w:b/>
                <w:sz w:val="28"/>
                <w:szCs w:val="28"/>
              </w:rPr>
            </w:pPr>
            <w:r>
              <w:rPr>
                <w:b/>
                <w:sz w:val="28"/>
                <w:szCs w:val="28"/>
              </w:rPr>
            </w:r>
          </w:p>
          <w:p>
            <w:pPr>
              <w:pStyle w:val="Normal"/>
              <w:tabs>
                <w:tab w:val="clear" w:pos="708"/>
                <w:tab w:val="center" w:pos="4677" w:leader="none"/>
                <w:tab w:val="right" w:pos="9355" w:leader="none"/>
              </w:tabs>
              <w:jc w:val="center"/>
              <w:rPr>
                <w:rFonts w:ascii="Times New Roman" w:hAnsi="Times New Roman"/>
                <w:b/>
                <w:sz w:val="28"/>
                <w:szCs w:val="28"/>
              </w:rPr>
            </w:pPr>
            <w:r>
              <w:rPr>
                <w:b/>
                <w:sz w:val="28"/>
                <w:szCs w:val="28"/>
              </w:rPr>
            </w:r>
          </w:p>
          <w:p>
            <w:pPr>
              <w:pStyle w:val="Normal"/>
              <w:tabs>
                <w:tab w:val="clear" w:pos="708"/>
                <w:tab w:val="center" w:pos="4677" w:leader="none"/>
                <w:tab w:val="right" w:pos="9355" w:leader="none"/>
              </w:tabs>
              <w:jc w:val="center"/>
              <w:rPr>
                <w:rFonts w:ascii="Times New Roman" w:hAnsi="Times New Roman"/>
                <w:b/>
                <w:sz w:val="28"/>
                <w:szCs w:val="28"/>
              </w:rPr>
            </w:pPr>
            <w:r>
              <w:rPr>
                <w:b/>
                <w:sz w:val="28"/>
                <w:szCs w:val="28"/>
              </w:rPr>
              <w:t>Библиотеки</w:t>
            </w:r>
          </w:p>
        </w:tc>
        <w:tc>
          <w:tcPr>
            <w:tcW w:w="1539" w:type="dxa"/>
            <w:vMerge w:val="restart"/>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jc w:val="center"/>
              <w:rPr>
                <w:rFonts w:ascii="Times New Roman" w:hAnsi="Times New Roman"/>
                <w:b/>
                <w:sz w:val="28"/>
                <w:szCs w:val="28"/>
              </w:rPr>
            </w:pPr>
            <w:r>
              <w:rPr>
                <w:b/>
                <w:sz w:val="28"/>
                <w:szCs w:val="28"/>
              </w:rPr>
              <w:t>Всего поступило средств от платных услуг (сумма)</w:t>
            </w:r>
          </w:p>
        </w:tc>
        <w:tc>
          <w:tcPr>
            <w:tcW w:w="5915" w:type="dxa"/>
            <w:gridSpan w:val="3"/>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jc w:val="center"/>
              <w:rPr>
                <w:rFonts w:ascii="Times New Roman" w:hAnsi="Times New Roman"/>
                <w:b/>
                <w:sz w:val="28"/>
                <w:szCs w:val="28"/>
              </w:rPr>
            </w:pPr>
            <w:r>
              <w:rPr>
                <w:b/>
                <w:sz w:val="28"/>
                <w:szCs w:val="28"/>
              </w:rPr>
              <w:t>В том числе</w:t>
            </w:r>
          </w:p>
        </w:tc>
      </w:tr>
      <w:tr>
        <w:trPr>
          <w:trHeight w:val="675" w:hRule="atLeast"/>
        </w:trPr>
        <w:tc>
          <w:tcPr>
            <w:tcW w:w="2429" w:type="dxa"/>
            <w:vMerge w:val="continue"/>
            <w:tcBorders>
              <w:top w:val="single" w:sz="4" w:space="0" w:color="000000"/>
              <w:left w:val="single" w:sz="4" w:space="0" w:color="000000"/>
              <w:bottom w:val="single" w:sz="4" w:space="0" w:color="000000"/>
              <w:right w:val="single" w:sz="4" w:space="0" w:color="000000"/>
            </w:tcBorders>
            <w:shd w:fill="B8CCE4" w:val="clear"/>
          </w:tcPr>
          <w:p>
            <w:pPr>
              <w:pStyle w:val="Normal"/>
              <w:tabs>
                <w:tab w:val="clear" w:pos="708"/>
                <w:tab w:val="center" w:pos="4677" w:leader="none"/>
                <w:tab w:val="right" w:pos="9355" w:leader="none"/>
              </w:tabs>
              <w:snapToGrid w:val="false"/>
              <w:jc w:val="center"/>
              <w:rPr>
                <w:rFonts w:ascii="Times New Roman" w:hAnsi="Times New Roman"/>
                <w:b/>
                <w:sz w:val="28"/>
                <w:szCs w:val="28"/>
              </w:rPr>
            </w:pPr>
            <w:r>
              <w:rPr>
                <w:b/>
                <w:sz w:val="28"/>
                <w:szCs w:val="28"/>
              </w:rPr>
            </w:r>
          </w:p>
        </w:tc>
        <w:tc>
          <w:tcPr>
            <w:tcW w:w="1539" w:type="dxa"/>
            <w:vMerge w:val="continue"/>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snapToGrid w:val="false"/>
              <w:jc w:val="center"/>
              <w:rPr>
                <w:rFonts w:ascii="Times New Roman" w:hAnsi="Times New Roman"/>
                <w:b/>
                <w:sz w:val="28"/>
                <w:szCs w:val="28"/>
              </w:rPr>
            </w:pPr>
            <w:r>
              <w:rPr>
                <w:b/>
                <w:sz w:val="28"/>
                <w:szCs w:val="28"/>
              </w:rPr>
            </w:r>
          </w:p>
        </w:tc>
        <w:tc>
          <w:tcPr>
            <w:tcW w:w="2235" w:type="dxa"/>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jc w:val="center"/>
              <w:rPr>
                <w:rFonts w:ascii="Times New Roman" w:hAnsi="Times New Roman"/>
                <w:b/>
                <w:sz w:val="28"/>
                <w:szCs w:val="28"/>
              </w:rPr>
            </w:pPr>
            <w:r>
              <w:rPr>
                <w:b/>
                <w:sz w:val="28"/>
                <w:szCs w:val="28"/>
              </w:rPr>
              <w:t>ксерокопирование</w:t>
            </w:r>
          </w:p>
        </w:tc>
        <w:tc>
          <w:tcPr>
            <w:tcW w:w="2268" w:type="dxa"/>
            <w:tcBorders>
              <w:top w:val="single" w:sz="4" w:space="0" w:color="000000"/>
              <w:left w:val="single" w:sz="4" w:space="0" w:color="000000"/>
              <w:bottom w:val="single" w:sz="4" w:space="0" w:color="000000"/>
              <w:right w:val="single" w:sz="4" w:space="0" w:color="000000"/>
            </w:tcBorders>
            <w:shd w:fill="B8CCE4" w:val="clear"/>
          </w:tcPr>
          <w:p>
            <w:pPr>
              <w:pStyle w:val="Normal"/>
              <w:tabs>
                <w:tab w:val="clear" w:pos="708"/>
                <w:tab w:val="center" w:pos="4677" w:leader="none"/>
                <w:tab w:val="right" w:pos="9355" w:leader="none"/>
              </w:tabs>
              <w:jc w:val="center"/>
              <w:rPr>
                <w:rFonts w:ascii="Times New Roman" w:hAnsi="Times New Roman"/>
                <w:b/>
                <w:sz w:val="28"/>
                <w:szCs w:val="28"/>
              </w:rPr>
            </w:pPr>
            <w:r>
              <w:rPr>
                <w:b/>
                <w:sz w:val="28"/>
                <w:szCs w:val="28"/>
              </w:rPr>
              <w:t>с использованием компьютерных технологий</w:t>
            </w:r>
          </w:p>
        </w:tc>
        <w:tc>
          <w:tcPr>
            <w:tcW w:w="1412" w:type="dxa"/>
            <w:tcBorders>
              <w:top w:val="single" w:sz="4" w:space="0" w:color="000000"/>
              <w:left w:val="single" w:sz="4" w:space="0" w:color="000000"/>
              <w:bottom w:val="single" w:sz="4" w:space="0" w:color="000000"/>
              <w:right w:val="single" w:sz="4" w:space="0" w:color="000000"/>
            </w:tcBorders>
            <w:shd w:fill="B8CCE4" w:val="clear"/>
          </w:tcPr>
          <w:p>
            <w:pPr>
              <w:pStyle w:val="Normal"/>
              <w:tabs>
                <w:tab w:val="clear" w:pos="708"/>
                <w:tab w:val="center" w:pos="4677" w:leader="none"/>
                <w:tab w:val="right" w:pos="9355" w:leader="none"/>
              </w:tabs>
              <w:jc w:val="center"/>
              <w:rPr>
                <w:rFonts w:ascii="Times New Roman" w:hAnsi="Times New Roman"/>
                <w:b/>
                <w:sz w:val="28"/>
                <w:szCs w:val="28"/>
              </w:rPr>
            </w:pPr>
            <w:r>
              <w:rPr>
                <w:b/>
                <w:sz w:val="28"/>
                <w:szCs w:val="28"/>
              </w:rPr>
              <w:t>другое</w:t>
            </w:r>
          </w:p>
        </w:tc>
      </w:tr>
      <w:tr>
        <w:trPr>
          <w:trHeight w:val="906" w:hRule="atLeast"/>
        </w:trPr>
        <w:tc>
          <w:tcPr>
            <w:tcW w:w="2429" w:type="dxa"/>
            <w:tcBorders>
              <w:top w:val="single" w:sz="4" w:space="0" w:color="000000"/>
              <w:left w:val="single" w:sz="4" w:space="0" w:color="000000"/>
              <w:bottom w:val="single" w:sz="4" w:space="0" w:color="000000"/>
              <w:right w:val="single" w:sz="4" w:space="0" w:color="000000"/>
            </w:tcBorders>
          </w:tcPr>
          <w:p>
            <w:pPr>
              <w:pStyle w:val="Normal"/>
              <w:tabs>
                <w:tab w:val="clear" w:pos="708"/>
                <w:tab w:val="center" w:pos="4677" w:leader="none"/>
                <w:tab w:val="right" w:pos="9355" w:leader="none"/>
              </w:tabs>
              <w:rPr>
                <w:rFonts w:ascii="Times New Roman" w:hAnsi="Times New Roman"/>
                <w:sz w:val="28"/>
                <w:szCs w:val="28"/>
              </w:rPr>
            </w:pPr>
            <w:r>
              <w:rPr>
                <w:sz w:val="28"/>
                <w:szCs w:val="28"/>
              </w:rPr>
              <w:t xml:space="preserve"> </w:t>
            </w:r>
            <w:r>
              <w:rPr>
                <w:sz w:val="28"/>
                <w:szCs w:val="28"/>
              </w:rPr>
              <w:t>МБУК ЦБС</w:t>
            </w:r>
          </w:p>
          <w:p>
            <w:pPr>
              <w:pStyle w:val="Normal"/>
              <w:tabs>
                <w:tab w:val="clear" w:pos="708"/>
                <w:tab w:val="center" w:pos="4677" w:leader="none"/>
                <w:tab w:val="right" w:pos="9355" w:leader="none"/>
              </w:tabs>
              <w:rPr>
                <w:rFonts w:ascii="Times New Roman" w:hAnsi="Times New Roman"/>
                <w:sz w:val="28"/>
                <w:szCs w:val="28"/>
              </w:rPr>
            </w:pPr>
            <w:r>
              <w:rPr>
                <w:sz w:val="28"/>
                <w:szCs w:val="28"/>
              </w:rPr>
            </w:r>
          </w:p>
          <w:p>
            <w:pPr>
              <w:pStyle w:val="Normal"/>
              <w:tabs>
                <w:tab w:val="clear" w:pos="708"/>
                <w:tab w:val="center" w:pos="4677" w:leader="none"/>
                <w:tab w:val="right" w:pos="9355" w:leader="none"/>
              </w:tabs>
              <w:rPr>
                <w:rFonts w:ascii="Times New Roman" w:hAnsi="Times New Roman"/>
                <w:sz w:val="28"/>
                <w:szCs w:val="28"/>
              </w:rPr>
            </w:pPr>
            <w:r>
              <w:rPr>
                <w:sz w:val="28"/>
                <w:szCs w:val="28"/>
              </w:rPr>
            </w:r>
          </w:p>
        </w:tc>
        <w:tc>
          <w:tcPr>
            <w:tcW w:w="1539" w:type="dxa"/>
            <w:tcBorders>
              <w:top w:val="single" w:sz="4" w:space="0" w:color="000000"/>
              <w:left w:val="single" w:sz="4" w:space="0" w:color="000000"/>
              <w:bottom w:val="single" w:sz="4" w:space="0" w:color="000000"/>
              <w:right w:val="single" w:sz="4" w:space="0" w:color="000000"/>
            </w:tcBorders>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161 152</w:t>
            </w:r>
          </w:p>
        </w:tc>
        <w:tc>
          <w:tcPr>
            <w:tcW w:w="2235" w:type="dxa"/>
            <w:tcBorders>
              <w:top w:val="single" w:sz="4" w:space="0" w:color="000000"/>
              <w:left w:val="single" w:sz="4" w:space="0" w:color="000000"/>
              <w:bottom w:val="single" w:sz="4" w:space="0" w:color="000000"/>
              <w:right w:val="single" w:sz="4" w:space="0" w:color="000000"/>
            </w:tcBorders>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28914</w:t>
            </w:r>
          </w:p>
        </w:tc>
        <w:tc>
          <w:tcPr>
            <w:tcW w:w="2268" w:type="dxa"/>
            <w:tcBorders>
              <w:top w:val="single" w:sz="4" w:space="0" w:color="000000"/>
              <w:left w:val="single" w:sz="4" w:space="0" w:color="000000"/>
              <w:bottom w:val="single" w:sz="4" w:space="0" w:color="000000"/>
              <w:right w:val="single" w:sz="4" w:space="0" w:color="000000"/>
            </w:tcBorders>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56 086</w:t>
            </w:r>
          </w:p>
        </w:tc>
        <w:tc>
          <w:tcPr>
            <w:tcW w:w="1412" w:type="dxa"/>
            <w:tcBorders>
              <w:top w:val="single" w:sz="4" w:space="0" w:color="000000"/>
              <w:left w:val="single" w:sz="4" w:space="0" w:color="000000"/>
              <w:bottom w:val="single" w:sz="4" w:space="0" w:color="000000"/>
              <w:right w:val="single" w:sz="4" w:space="0" w:color="000000"/>
            </w:tcBorders>
          </w:tcPr>
          <w:p>
            <w:pPr>
              <w:pStyle w:val="Normal"/>
              <w:jc w:val="center"/>
              <w:rPr>
                <w:rFonts w:ascii="Times New Roman" w:hAnsi="Times New Roman"/>
                <w:sz w:val="28"/>
                <w:szCs w:val="28"/>
              </w:rPr>
            </w:pPr>
            <w:r>
              <w:rPr>
                <w:sz w:val="28"/>
                <w:szCs w:val="28"/>
              </w:rPr>
              <w:t>76152   из них:</w:t>
            </w:r>
          </w:p>
          <w:p>
            <w:pPr>
              <w:pStyle w:val="Normal"/>
              <w:jc w:val="center"/>
              <w:rPr>
                <w:rFonts w:ascii="Times New Roman" w:hAnsi="Times New Roman"/>
                <w:sz w:val="28"/>
                <w:szCs w:val="28"/>
              </w:rPr>
            </w:pPr>
            <w:r>
              <w:rPr>
                <w:sz w:val="28"/>
                <w:szCs w:val="28"/>
              </w:rPr>
              <w:t>«Пушкинская карта» -   24 430</w:t>
            </w:r>
          </w:p>
          <w:p>
            <w:pPr>
              <w:pStyle w:val="Normal"/>
              <w:jc w:val="center"/>
              <w:rPr>
                <w:rFonts w:ascii="Times New Roman" w:hAnsi="Times New Roman"/>
                <w:sz w:val="28"/>
                <w:szCs w:val="28"/>
              </w:rPr>
            </w:pPr>
            <w:r>
              <w:rPr>
                <w:sz w:val="28"/>
                <w:szCs w:val="28"/>
              </w:rPr>
              <w:t>Аренда -19 821</w:t>
            </w:r>
          </w:p>
          <w:p>
            <w:pPr>
              <w:pStyle w:val="Normal"/>
              <w:jc w:val="center"/>
              <w:rPr>
                <w:rFonts w:ascii="Times New Roman" w:hAnsi="Times New Roman"/>
                <w:sz w:val="28"/>
                <w:szCs w:val="28"/>
              </w:rPr>
            </w:pPr>
            <w:r>
              <w:rPr>
                <w:sz w:val="28"/>
                <w:szCs w:val="28"/>
              </w:rPr>
              <w:t>фонд Созидание-20 000</w:t>
            </w:r>
          </w:p>
          <w:p>
            <w:pPr>
              <w:pStyle w:val="Normal"/>
              <w:jc w:val="center"/>
              <w:rPr>
                <w:rFonts w:ascii="Times New Roman" w:hAnsi="Times New Roman"/>
                <w:sz w:val="28"/>
                <w:szCs w:val="28"/>
              </w:rPr>
            </w:pPr>
            <w:r>
              <w:rPr>
                <w:sz w:val="28"/>
                <w:szCs w:val="28"/>
              </w:rPr>
            </w:r>
          </w:p>
        </w:tc>
      </w:tr>
      <w:tr>
        <w:trPr/>
        <w:tc>
          <w:tcPr>
            <w:tcW w:w="2429" w:type="dxa"/>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rPr>
                <w:rFonts w:ascii="Times New Roman" w:hAnsi="Times New Roman"/>
                <w:sz w:val="28"/>
                <w:szCs w:val="28"/>
              </w:rPr>
            </w:pPr>
            <w:r>
              <w:rPr>
                <w:sz w:val="28"/>
                <w:szCs w:val="28"/>
              </w:rPr>
              <w:t>Центральная районная библиотека</w:t>
            </w:r>
          </w:p>
        </w:tc>
        <w:tc>
          <w:tcPr>
            <w:tcW w:w="1539" w:type="dxa"/>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71 415</w:t>
            </w:r>
          </w:p>
        </w:tc>
        <w:tc>
          <w:tcPr>
            <w:tcW w:w="2235" w:type="dxa"/>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18329</w:t>
            </w:r>
          </w:p>
        </w:tc>
        <w:tc>
          <w:tcPr>
            <w:tcW w:w="2268" w:type="dxa"/>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53 086</w:t>
            </w:r>
          </w:p>
        </w:tc>
        <w:tc>
          <w:tcPr>
            <w:tcW w:w="1412" w:type="dxa"/>
            <w:tcBorders>
              <w:top w:val="single" w:sz="4" w:space="0" w:color="000000"/>
              <w:left w:val="single" w:sz="4" w:space="0" w:color="000000"/>
              <w:bottom w:val="single" w:sz="4" w:space="0" w:color="000000"/>
              <w:right w:val="single" w:sz="4" w:space="0" w:color="000000"/>
            </w:tcBorders>
            <w:shd w:fill="DBE5F1" w:val="clear"/>
          </w:tcPr>
          <w:p>
            <w:pPr>
              <w:pStyle w:val="Normal"/>
              <w:snapToGrid w:val="false"/>
              <w:jc w:val="center"/>
              <w:rPr>
                <w:rFonts w:ascii="Times New Roman" w:hAnsi="Times New Roman"/>
                <w:sz w:val="28"/>
                <w:szCs w:val="28"/>
              </w:rPr>
            </w:pPr>
            <w:r>
              <w:rPr>
                <w:sz w:val="28"/>
                <w:szCs w:val="28"/>
              </w:rPr>
            </w:r>
          </w:p>
        </w:tc>
      </w:tr>
      <w:tr>
        <w:trPr/>
        <w:tc>
          <w:tcPr>
            <w:tcW w:w="2429" w:type="dxa"/>
            <w:tcBorders>
              <w:top w:val="single" w:sz="4" w:space="0" w:color="000000"/>
              <w:left w:val="single" w:sz="4" w:space="0" w:color="000000"/>
              <w:bottom w:val="single" w:sz="4" w:space="0" w:color="000000"/>
              <w:right w:val="single" w:sz="4" w:space="0" w:color="000000"/>
            </w:tcBorders>
          </w:tcPr>
          <w:p>
            <w:pPr>
              <w:pStyle w:val="Normal"/>
              <w:tabs>
                <w:tab w:val="clear" w:pos="708"/>
                <w:tab w:val="center" w:pos="4677" w:leader="none"/>
                <w:tab w:val="right" w:pos="9355" w:leader="none"/>
              </w:tabs>
              <w:rPr>
                <w:rFonts w:ascii="Times New Roman" w:hAnsi="Times New Roman"/>
                <w:sz w:val="28"/>
                <w:szCs w:val="28"/>
              </w:rPr>
            </w:pPr>
            <w:r>
              <w:rPr>
                <w:sz w:val="28"/>
                <w:szCs w:val="28"/>
              </w:rPr>
              <w:t>Центральная детская библиотека</w:t>
            </w:r>
          </w:p>
        </w:tc>
        <w:tc>
          <w:tcPr>
            <w:tcW w:w="1539" w:type="dxa"/>
            <w:tcBorders>
              <w:top w:val="single" w:sz="4" w:space="0" w:color="000000"/>
              <w:left w:val="single" w:sz="4" w:space="0" w:color="000000"/>
              <w:bottom w:val="single" w:sz="4" w:space="0" w:color="000000"/>
              <w:right w:val="single" w:sz="4" w:space="0" w:color="000000"/>
            </w:tcBorders>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7 610</w:t>
            </w:r>
          </w:p>
        </w:tc>
        <w:tc>
          <w:tcPr>
            <w:tcW w:w="2235" w:type="dxa"/>
            <w:tcBorders>
              <w:top w:val="single" w:sz="4" w:space="0" w:color="000000"/>
              <w:left w:val="single" w:sz="4" w:space="0" w:color="000000"/>
              <w:bottom w:val="single" w:sz="4" w:space="0" w:color="000000"/>
              <w:right w:val="single" w:sz="4" w:space="0" w:color="000000"/>
            </w:tcBorders>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5610</w:t>
            </w:r>
          </w:p>
        </w:tc>
        <w:tc>
          <w:tcPr>
            <w:tcW w:w="2268" w:type="dxa"/>
            <w:tcBorders>
              <w:top w:val="single" w:sz="4" w:space="0" w:color="000000"/>
              <w:left w:val="single" w:sz="4" w:space="0" w:color="000000"/>
              <w:bottom w:val="single" w:sz="4" w:space="0" w:color="000000"/>
              <w:right w:val="single" w:sz="4" w:space="0" w:color="000000"/>
            </w:tcBorders>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2 000</w:t>
            </w:r>
          </w:p>
        </w:tc>
        <w:tc>
          <w:tcPr>
            <w:tcW w:w="1412"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rFonts w:ascii="Times New Roman" w:hAnsi="Times New Roman"/>
                <w:sz w:val="28"/>
                <w:szCs w:val="28"/>
              </w:rPr>
            </w:pPr>
            <w:r>
              <w:rPr>
                <w:sz w:val="28"/>
                <w:szCs w:val="28"/>
              </w:rPr>
            </w:r>
          </w:p>
        </w:tc>
      </w:tr>
      <w:tr>
        <w:trPr/>
        <w:tc>
          <w:tcPr>
            <w:tcW w:w="2429" w:type="dxa"/>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rPr>
                <w:rFonts w:ascii="Times New Roman" w:hAnsi="Times New Roman"/>
                <w:sz w:val="28"/>
                <w:szCs w:val="28"/>
              </w:rPr>
            </w:pPr>
            <w:r>
              <w:rPr>
                <w:sz w:val="28"/>
                <w:szCs w:val="28"/>
              </w:rPr>
              <w:t>Сельские библиотеки-филиалы</w:t>
            </w:r>
          </w:p>
        </w:tc>
        <w:tc>
          <w:tcPr>
            <w:tcW w:w="1539" w:type="dxa"/>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5 975</w:t>
            </w:r>
          </w:p>
        </w:tc>
        <w:tc>
          <w:tcPr>
            <w:tcW w:w="2235" w:type="dxa"/>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4975</w:t>
            </w:r>
          </w:p>
        </w:tc>
        <w:tc>
          <w:tcPr>
            <w:tcW w:w="2268" w:type="dxa"/>
            <w:tcBorders>
              <w:top w:val="single" w:sz="4" w:space="0" w:color="000000"/>
              <w:left w:val="single" w:sz="4" w:space="0" w:color="000000"/>
              <w:bottom w:val="single" w:sz="4" w:space="0" w:color="000000"/>
              <w:right w:val="single" w:sz="4" w:space="0" w:color="000000"/>
            </w:tcBorders>
            <w:shd w:fill="DBE5F1" w:val="clear"/>
          </w:tcPr>
          <w:p>
            <w:pPr>
              <w:pStyle w:val="Normal"/>
              <w:tabs>
                <w:tab w:val="clear" w:pos="708"/>
                <w:tab w:val="center" w:pos="4677" w:leader="none"/>
                <w:tab w:val="right" w:pos="9355" w:leader="none"/>
              </w:tabs>
              <w:jc w:val="center"/>
              <w:rPr>
                <w:rFonts w:ascii="Times New Roman" w:hAnsi="Times New Roman"/>
                <w:sz w:val="28"/>
                <w:szCs w:val="28"/>
              </w:rPr>
            </w:pPr>
            <w:r>
              <w:rPr>
                <w:sz w:val="28"/>
                <w:szCs w:val="28"/>
              </w:rPr>
              <w:t>1 000</w:t>
            </w:r>
          </w:p>
        </w:tc>
        <w:tc>
          <w:tcPr>
            <w:tcW w:w="1412" w:type="dxa"/>
            <w:tcBorders>
              <w:top w:val="single" w:sz="4" w:space="0" w:color="000000"/>
              <w:left w:val="single" w:sz="4" w:space="0" w:color="000000"/>
              <w:bottom w:val="single" w:sz="4" w:space="0" w:color="000000"/>
              <w:right w:val="single" w:sz="4" w:space="0" w:color="000000"/>
            </w:tcBorders>
            <w:shd w:fill="DBE5F1" w:val="clear"/>
          </w:tcPr>
          <w:p>
            <w:pPr>
              <w:pStyle w:val="Normal"/>
              <w:snapToGrid w:val="false"/>
              <w:jc w:val="center"/>
              <w:rPr>
                <w:rFonts w:ascii="Times New Roman" w:hAnsi="Times New Roman"/>
                <w:sz w:val="28"/>
                <w:szCs w:val="28"/>
              </w:rPr>
            </w:pPr>
            <w:r>
              <w:rPr>
                <w:sz w:val="28"/>
                <w:szCs w:val="28"/>
              </w:rPr>
            </w:r>
          </w:p>
        </w:tc>
      </w:tr>
    </w:tbl>
    <w:p>
      <w:pPr>
        <w:pStyle w:val="Style51"/>
        <w:widowControl/>
        <w:spacing w:lineRule="auto" w:line="240"/>
        <w:ind w:hanging="0" w:right="0"/>
        <w:jc w:val="center"/>
        <w:rPr>
          <w:rStyle w:val="FontStyle31"/>
          <w:rFonts w:ascii="Times New Roman" w:hAnsi="Times New Roman"/>
          <w:b/>
          <w:sz w:val="28"/>
          <w:szCs w:val="28"/>
          <w:u w:val="single"/>
        </w:rPr>
      </w:pPr>
      <w:r>
        <w:rPr>
          <w:b/>
          <w:sz w:val="28"/>
          <w:szCs w:val="28"/>
          <w:u w:val="single"/>
        </w:rPr>
      </w:r>
    </w:p>
    <w:p>
      <w:pPr>
        <w:pStyle w:val="Style51"/>
        <w:widowControl/>
        <w:spacing w:lineRule="auto" w:line="240"/>
        <w:ind w:hanging="0" w:right="0"/>
        <w:jc w:val="center"/>
        <w:rPr/>
      </w:pPr>
      <w:r>
        <w:rPr>
          <w:rStyle w:val="FontStyle31"/>
          <w:b/>
          <w:sz w:val="28"/>
          <w:szCs w:val="28"/>
          <w:u w:val="single"/>
        </w:rPr>
        <w:t xml:space="preserve">Муниципальное бюджетное учреждение культуры </w:t>
      </w:r>
    </w:p>
    <w:p>
      <w:pPr>
        <w:pStyle w:val="Style51"/>
        <w:widowControl/>
        <w:spacing w:lineRule="auto" w:line="240"/>
        <w:ind w:hanging="0" w:right="0"/>
        <w:jc w:val="center"/>
        <w:rPr/>
      </w:pPr>
      <w:r>
        <w:rPr>
          <w:rStyle w:val="FontStyle31"/>
          <w:b/>
          <w:sz w:val="28"/>
          <w:szCs w:val="28"/>
          <w:u w:val="single"/>
        </w:rPr>
        <w:t xml:space="preserve"> </w:t>
      </w:r>
      <w:r>
        <w:rPr>
          <w:rStyle w:val="FontStyle31"/>
          <w:b/>
          <w:sz w:val="28"/>
          <w:szCs w:val="28"/>
          <w:u w:val="single"/>
        </w:rPr>
        <w:t>Демидовский историко-краеведческий музей</w:t>
      </w:r>
    </w:p>
    <w:p>
      <w:pPr>
        <w:pStyle w:val="Normal"/>
        <w:spacing w:before="0" w:after="0"/>
        <w:ind w:firstLine="709" w:right="0"/>
        <w:contextualSpacing/>
        <w:jc w:val="both"/>
        <w:rPr/>
      </w:pPr>
      <w:r>
        <w:rPr>
          <w:sz w:val="28"/>
          <w:szCs w:val="28"/>
        </w:rPr>
        <w:t xml:space="preserve">В 2025 году продолжена работа с   образовательными учреждениями города и района. Музей посещает учащаяся молодёжь: это студенты техникума отраслевых технологий, учащиеся школ города и района, социально-реабилитационного центра «Исток», коррекционной школы-интерната, воспитанники детских садов. </w:t>
      </w:r>
    </w:p>
    <w:p>
      <w:pPr>
        <w:pStyle w:val="Normal"/>
        <w:spacing w:before="0" w:after="0"/>
        <w:ind w:firstLine="709" w:right="0"/>
        <w:contextualSpacing/>
        <w:jc w:val="both"/>
        <w:rPr>
          <w:rFonts w:ascii="Times New Roman" w:hAnsi="Times New Roman"/>
          <w:sz w:val="28"/>
          <w:szCs w:val="28"/>
        </w:rPr>
      </w:pPr>
      <w:r>
        <w:rPr>
          <w:sz w:val="28"/>
          <w:szCs w:val="28"/>
        </w:rPr>
        <w:tab/>
        <w:t xml:space="preserve">В целях популяризации своей деятельности Демидовский историко-краеведческий музей продолжил работу с интернет - ресурсами. На официальном сайте МБУК Демидовский историко-краеведческий музей и сайте МО «Демидовский муниципальный округ» Смоленской области, на сайте ПРО.Культура, ВК, ОК, постоянно размещается информация о мероприятиях: классных часах, уроках мужества, встречах с интересными людьми, о новых выставках и интересных экспонатах из фондов музея и других мероприятиях. </w:t>
      </w:r>
    </w:p>
    <w:p>
      <w:pPr>
        <w:pStyle w:val="Normal"/>
        <w:spacing w:before="0" w:after="0"/>
        <w:ind w:firstLine="709" w:right="0"/>
        <w:contextualSpacing/>
        <w:jc w:val="both"/>
        <w:rPr>
          <w:rFonts w:ascii="Times New Roman" w:hAnsi="Times New Roman"/>
          <w:sz w:val="28"/>
          <w:szCs w:val="28"/>
        </w:rPr>
      </w:pPr>
      <w:r>
        <w:rPr>
          <w:sz w:val="28"/>
          <w:szCs w:val="28"/>
        </w:rPr>
        <w:t>Основной определяющей характеристикой музея является музейный фонд, составляющий 6074 единицы хранения. Музей является местом массового досуга и общественных встреч, информационно-образовательным центром. Постоянная экспозиция размещена в четырёх залах, где представлены экспонаты от глубокой древности до современности. Имеется выставочный зал. Основными целями работы музея в 2025 году являлись:</w:t>
      </w:r>
    </w:p>
    <w:p>
      <w:pPr>
        <w:pStyle w:val="Normal"/>
        <w:spacing w:before="0" w:after="0"/>
        <w:ind w:firstLine="709" w:right="0"/>
        <w:contextualSpacing/>
        <w:jc w:val="both"/>
        <w:rPr>
          <w:rFonts w:ascii="Times New Roman" w:hAnsi="Times New Roman"/>
          <w:sz w:val="28"/>
          <w:szCs w:val="28"/>
        </w:rPr>
      </w:pPr>
      <w:r>
        <w:rPr>
          <w:sz w:val="28"/>
          <w:szCs w:val="28"/>
        </w:rPr>
        <w:t xml:space="preserve">- выявление, сохранение, изучение и популяризация историко-культурного наследия Демидовского муниципального округа ; </w:t>
      </w:r>
    </w:p>
    <w:p>
      <w:pPr>
        <w:pStyle w:val="Normal"/>
        <w:spacing w:before="0" w:after="0"/>
        <w:ind w:firstLine="709" w:right="0"/>
        <w:contextualSpacing/>
        <w:jc w:val="both"/>
        <w:rPr>
          <w:rFonts w:ascii="Times New Roman" w:hAnsi="Times New Roman"/>
          <w:sz w:val="28"/>
          <w:szCs w:val="28"/>
        </w:rPr>
      </w:pPr>
      <w:r>
        <w:rPr>
          <w:sz w:val="28"/>
          <w:szCs w:val="28"/>
        </w:rPr>
        <w:t>- совершенствование взаимодействия с образовательными и культурными учреждениями г. Демидова и Демидовского муниципального округа;</w:t>
      </w:r>
    </w:p>
    <w:p>
      <w:pPr>
        <w:pStyle w:val="Normal"/>
        <w:spacing w:before="0" w:after="0"/>
        <w:ind w:firstLine="709" w:right="0"/>
        <w:contextualSpacing/>
        <w:jc w:val="both"/>
        <w:rPr>
          <w:rFonts w:ascii="Times New Roman" w:hAnsi="Times New Roman"/>
          <w:sz w:val="28"/>
          <w:szCs w:val="28"/>
        </w:rPr>
      </w:pPr>
      <w:r>
        <w:rPr>
          <w:sz w:val="28"/>
          <w:szCs w:val="28"/>
        </w:rPr>
        <w:t>-  организация музейного обслуживания с учетом интересов и потребностей различных социально-возрастных и образовательных групп;</w:t>
      </w:r>
    </w:p>
    <w:p>
      <w:pPr>
        <w:pStyle w:val="Normal"/>
        <w:spacing w:before="0" w:after="0"/>
        <w:ind w:firstLine="709" w:right="0"/>
        <w:contextualSpacing/>
        <w:jc w:val="both"/>
        <w:rPr>
          <w:rFonts w:ascii="Times New Roman" w:hAnsi="Times New Roman"/>
          <w:sz w:val="28"/>
          <w:szCs w:val="28"/>
        </w:rPr>
      </w:pPr>
      <w:r>
        <w:rPr>
          <w:sz w:val="28"/>
          <w:szCs w:val="28"/>
        </w:rPr>
        <w:t>В 2025 году музей посетило 10090 человек. За год проведено 107 экскурсий.</w:t>
      </w:r>
    </w:p>
    <w:p>
      <w:pPr>
        <w:pStyle w:val="Normal"/>
        <w:spacing w:before="0" w:after="0"/>
        <w:ind w:firstLine="709" w:right="0"/>
        <w:contextualSpacing/>
        <w:jc w:val="both"/>
        <w:rPr>
          <w:rFonts w:ascii="Times New Roman" w:hAnsi="Times New Roman"/>
          <w:sz w:val="28"/>
          <w:szCs w:val="28"/>
        </w:rPr>
      </w:pPr>
      <w:r>
        <w:rPr>
          <w:sz w:val="28"/>
          <w:szCs w:val="28"/>
        </w:rPr>
        <w:t>В 2025 году в электронный Государственный каталог в соответствии с Планом-графиком внесено 3 831 предмет.</w:t>
        <w:tab/>
        <w:t>В 2025 году число экспонатов основного фонда музея пополнилось на 36 предметов; научно-вспомогательного 44 предмета.</w:t>
      </w:r>
    </w:p>
    <w:p>
      <w:pPr>
        <w:pStyle w:val="Normal"/>
        <w:spacing w:before="0" w:after="0"/>
        <w:ind w:firstLine="709" w:right="0"/>
        <w:contextualSpacing/>
        <w:jc w:val="both"/>
        <w:rPr>
          <w:rFonts w:ascii="Times New Roman" w:hAnsi="Times New Roman"/>
          <w:sz w:val="28"/>
          <w:szCs w:val="28"/>
        </w:rPr>
      </w:pPr>
      <w:r>
        <w:rPr>
          <w:sz w:val="28"/>
          <w:szCs w:val="28"/>
        </w:rPr>
        <w:t>а музея пополнилось на 36 предметов; научно-вспомогательного 44 предмета.</w:t>
      </w:r>
    </w:p>
    <w:tbl>
      <w:tblPr>
        <w:tblW w:w="6788" w:type="dxa"/>
        <w:jc w:val="left"/>
        <w:tblInd w:w="799" w:type="dxa"/>
        <w:tblLayout w:type="fixed"/>
        <w:tblCellMar>
          <w:top w:w="0" w:type="dxa"/>
          <w:left w:w="40" w:type="dxa"/>
          <w:bottom w:w="0" w:type="dxa"/>
          <w:right w:w="40" w:type="dxa"/>
        </w:tblCellMar>
      </w:tblPr>
      <w:tblGrid>
        <w:gridCol w:w="3474"/>
        <w:gridCol w:w="3314"/>
      </w:tblGrid>
      <w:tr>
        <w:trPr>
          <w:trHeight w:val="302" w:hRule="atLeast"/>
        </w:trPr>
        <w:tc>
          <w:tcPr>
            <w:tcW w:w="3474" w:type="dxa"/>
            <w:tcBorders>
              <w:top w:val="single" w:sz="4" w:space="0" w:color="000000"/>
              <w:left w:val="single" w:sz="4" w:space="0" w:color="000000"/>
              <w:bottom w:val="single" w:sz="4" w:space="0" w:color="000000"/>
            </w:tcBorders>
          </w:tcPr>
          <w:p>
            <w:pPr>
              <w:pStyle w:val="Style23"/>
              <w:widowControl/>
              <w:jc w:val="both"/>
              <w:rPr/>
            </w:pPr>
            <w:r>
              <w:rPr>
                <w:rStyle w:val="FontStyle28"/>
                <w:sz w:val="28"/>
                <w:szCs w:val="28"/>
              </w:rPr>
              <w:t>ПОКАЗАТЕЛИ</w:t>
            </w:r>
          </w:p>
        </w:tc>
        <w:tc>
          <w:tcPr>
            <w:tcW w:w="3314" w:type="dxa"/>
            <w:tcBorders>
              <w:top w:val="single" w:sz="4" w:space="0" w:color="000000"/>
              <w:left w:val="single" w:sz="4" w:space="0" w:color="000000"/>
              <w:bottom w:val="single" w:sz="4" w:space="0" w:color="000000"/>
              <w:right w:val="single" w:sz="4" w:space="0" w:color="000000"/>
            </w:tcBorders>
          </w:tcPr>
          <w:p>
            <w:pPr>
              <w:pStyle w:val="Style23"/>
              <w:widowControl/>
              <w:jc w:val="both"/>
              <w:rPr/>
            </w:pPr>
            <w:r>
              <w:rPr>
                <w:rStyle w:val="FontStyle28"/>
                <w:sz w:val="28"/>
                <w:szCs w:val="28"/>
              </w:rPr>
              <w:t>2025</w:t>
            </w:r>
          </w:p>
        </w:tc>
      </w:tr>
      <w:tr>
        <w:trPr>
          <w:trHeight w:val="573" w:hRule="atLeast"/>
        </w:trPr>
        <w:tc>
          <w:tcPr>
            <w:tcW w:w="3474" w:type="dxa"/>
            <w:tcBorders>
              <w:top w:val="single" w:sz="4" w:space="0" w:color="000000"/>
              <w:left w:val="single" w:sz="4" w:space="0" w:color="000000"/>
              <w:bottom w:val="single" w:sz="4" w:space="0" w:color="000000"/>
            </w:tcBorders>
          </w:tcPr>
          <w:p>
            <w:pPr>
              <w:pStyle w:val="Style24"/>
              <w:widowControl/>
              <w:jc w:val="both"/>
              <w:rPr/>
            </w:pPr>
            <w:r>
              <w:rPr>
                <w:rStyle w:val="FontStyle31"/>
                <w:sz w:val="28"/>
                <w:szCs w:val="28"/>
              </w:rPr>
              <w:t>Количество</w:t>
            </w:r>
          </w:p>
          <w:p>
            <w:pPr>
              <w:pStyle w:val="Style24"/>
              <w:jc w:val="both"/>
              <w:rPr/>
            </w:pPr>
            <w:r>
              <w:rPr>
                <w:rStyle w:val="FontStyle31"/>
                <w:sz w:val="28"/>
                <w:szCs w:val="28"/>
              </w:rPr>
              <w:t>посещений</w:t>
            </w:r>
          </w:p>
        </w:tc>
        <w:tc>
          <w:tcPr>
            <w:tcW w:w="3314" w:type="dxa"/>
            <w:tcBorders>
              <w:top w:val="single" w:sz="4" w:space="0" w:color="000000"/>
              <w:left w:val="single" w:sz="4" w:space="0" w:color="000000"/>
              <w:bottom w:val="single" w:sz="4" w:space="0" w:color="000000"/>
              <w:right w:val="single" w:sz="4" w:space="0" w:color="000000"/>
            </w:tcBorders>
          </w:tcPr>
          <w:p>
            <w:pPr>
              <w:pStyle w:val="Style24"/>
              <w:widowControl/>
              <w:jc w:val="both"/>
              <w:rPr/>
            </w:pPr>
            <w:r>
              <w:rPr>
                <w:rStyle w:val="FontStyle31"/>
                <w:sz w:val="28"/>
                <w:szCs w:val="28"/>
              </w:rPr>
              <w:t>10090</w:t>
            </w:r>
          </w:p>
        </w:tc>
      </w:tr>
      <w:tr>
        <w:trPr>
          <w:trHeight w:val="861" w:hRule="atLeast"/>
        </w:trPr>
        <w:tc>
          <w:tcPr>
            <w:tcW w:w="3474" w:type="dxa"/>
            <w:tcBorders>
              <w:top w:val="single" w:sz="4" w:space="0" w:color="000000"/>
              <w:left w:val="single" w:sz="4" w:space="0" w:color="000000"/>
              <w:bottom w:val="single" w:sz="4" w:space="0" w:color="000000"/>
            </w:tcBorders>
          </w:tcPr>
          <w:p>
            <w:pPr>
              <w:pStyle w:val="Style24"/>
              <w:widowControl/>
              <w:jc w:val="both"/>
              <w:rPr/>
            </w:pPr>
            <w:r>
              <w:rPr>
                <w:rStyle w:val="FontStyle31"/>
                <w:sz w:val="28"/>
                <w:szCs w:val="28"/>
              </w:rPr>
              <w:t>Количество</w:t>
            </w:r>
          </w:p>
          <w:p>
            <w:pPr>
              <w:pStyle w:val="Style24"/>
              <w:jc w:val="both"/>
              <w:rPr/>
            </w:pPr>
            <w:r>
              <w:rPr>
                <w:rStyle w:val="FontStyle31"/>
                <w:sz w:val="28"/>
                <w:szCs w:val="28"/>
              </w:rPr>
              <w:t>организуемых</w:t>
            </w:r>
          </w:p>
          <w:p>
            <w:pPr>
              <w:pStyle w:val="Style24"/>
              <w:jc w:val="both"/>
              <w:rPr/>
            </w:pPr>
            <w:r>
              <w:rPr>
                <w:rStyle w:val="FontStyle31"/>
                <w:sz w:val="28"/>
                <w:szCs w:val="28"/>
              </w:rPr>
              <w:t>выставок</w:t>
            </w:r>
          </w:p>
        </w:tc>
        <w:tc>
          <w:tcPr>
            <w:tcW w:w="3314" w:type="dxa"/>
            <w:tcBorders>
              <w:top w:val="single" w:sz="4" w:space="0" w:color="000000"/>
              <w:left w:val="single" w:sz="4" w:space="0" w:color="000000"/>
              <w:bottom w:val="single" w:sz="4" w:space="0" w:color="000000"/>
              <w:right w:val="single" w:sz="4" w:space="0" w:color="000000"/>
            </w:tcBorders>
          </w:tcPr>
          <w:p>
            <w:pPr>
              <w:pStyle w:val="Style24"/>
              <w:jc w:val="both"/>
              <w:rPr/>
            </w:pPr>
            <w:r>
              <w:rPr>
                <w:rStyle w:val="FontStyle31"/>
                <w:sz w:val="28"/>
                <w:szCs w:val="28"/>
              </w:rPr>
              <w:t>15</w:t>
            </w:r>
          </w:p>
        </w:tc>
      </w:tr>
    </w:tbl>
    <w:p>
      <w:pPr>
        <w:pStyle w:val="Normal"/>
        <w:jc w:val="both"/>
        <w:rPr>
          <w:rStyle w:val="FontStyle31"/>
          <w:rFonts w:ascii="Times New Roman" w:hAnsi="Times New Roman"/>
          <w:sz w:val="28"/>
          <w:szCs w:val="28"/>
        </w:rPr>
      </w:pPr>
      <w:r>
        <w:rPr>
          <w:sz w:val="28"/>
          <w:szCs w:val="28"/>
        </w:rPr>
      </w:r>
    </w:p>
    <w:p>
      <w:pPr>
        <w:pStyle w:val="Style221"/>
        <w:widowControl/>
        <w:spacing w:lineRule="auto" w:line="240"/>
        <w:ind w:firstLine="720" w:right="0"/>
        <w:rPr/>
      </w:pPr>
      <w:r>
        <w:rPr>
          <w:rStyle w:val="FontStyle31"/>
          <w:b/>
          <w:sz w:val="28"/>
          <w:szCs w:val="28"/>
          <w:u w:val="single"/>
        </w:rPr>
        <w:t>Муниципальное бюджетное учреждение дополнительного образования Демидовская детская  школа искусств</w:t>
      </w:r>
      <w:r>
        <w:rPr>
          <w:rStyle w:val="FontStyle31"/>
          <w:sz w:val="28"/>
          <w:szCs w:val="28"/>
        </w:rPr>
        <w:t xml:space="preserve"> осуществляет эстетическое, музыкальное, художественное, театральное, хореографическое воспитание детей, приобщает их к искусству, готовит особо одаренных детей к поступлению в высшие и средние специальные учебные заведения культуры и искусства. В школе обучается 200 обучающихся. Подготовка детей ведется на 8 отделениях: фортепиано, народные инструменты, хоровое отделение, эстрадное пение, художественное отделение (живопись), духовые инструменты, хореографическое творчество, театральное искусство. </w:t>
      </w:r>
    </w:p>
    <w:tbl>
      <w:tblPr>
        <w:tblW w:w="6032" w:type="dxa"/>
        <w:jc w:val="center"/>
        <w:tblInd w:w="0" w:type="dxa"/>
        <w:tblLayout w:type="fixed"/>
        <w:tblCellMar>
          <w:top w:w="0" w:type="dxa"/>
          <w:left w:w="40" w:type="dxa"/>
          <w:bottom w:w="0" w:type="dxa"/>
          <w:right w:w="40" w:type="dxa"/>
        </w:tblCellMar>
      </w:tblPr>
      <w:tblGrid>
        <w:gridCol w:w="4020"/>
        <w:gridCol w:w="2012"/>
      </w:tblGrid>
      <w:tr>
        <w:trPr>
          <w:trHeight w:val="394" w:hRule="atLeast"/>
        </w:trPr>
        <w:tc>
          <w:tcPr>
            <w:tcW w:w="4020" w:type="dxa"/>
            <w:tcBorders>
              <w:top w:val="single" w:sz="4" w:space="0" w:color="000000"/>
              <w:left w:val="single" w:sz="4" w:space="0" w:color="000000"/>
              <w:bottom w:val="single" w:sz="4" w:space="0" w:color="000000"/>
            </w:tcBorders>
          </w:tcPr>
          <w:p>
            <w:pPr>
              <w:pStyle w:val="Style23"/>
              <w:widowControl/>
              <w:spacing w:lineRule="auto" w:line="276"/>
              <w:jc w:val="center"/>
              <w:rPr/>
            </w:pPr>
            <w:r>
              <w:rPr>
                <w:rStyle w:val="FontStyle28"/>
                <w:sz w:val="28"/>
                <w:szCs w:val="28"/>
              </w:rPr>
              <w:t>показатели</w:t>
            </w:r>
          </w:p>
        </w:tc>
        <w:tc>
          <w:tcPr>
            <w:tcW w:w="2012" w:type="dxa"/>
            <w:tcBorders>
              <w:top w:val="single" w:sz="4" w:space="0" w:color="000000"/>
              <w:left w:val="single" w:sz="4" w:space="0" w:color="000000"/>
              <w:bottom w:val="single" w:sz="4" w:space="0" w:color="000000"/>
              <w:right w:val="single" w:sz="4" w:space="0" w:color="000000"/>
            </w:tcBorders>
          </w:tcPr>
          <w:p>
            <w:pPr>
              <w:pStyle w:val="Style23"/>
              <w:widowControl/>
              <w:spacing w:lineRule="auto" w:line="276"/>
              <w:ind w:left="410" w:right="0"/>
              <w:rPr/>
            </w:pPr>
            <w:r>
              <w:rPr>
                <w:rStyle w:val="FontStyle28"/>
                <w:sz w:val="28"/>
                <w:szCs w:val="28"/>
              </w:rPr>
              <w:t>2025</w:t>
            </w:r>
          </w:p>
        </w:tc>
      </w:tr>
      <w:tr>
        <w:trPr>
          <w:trHeight w:val="848" w:hRule="atLeast"/>
        </w:trPr>
        <w:tc>
          <w:tcPr>
            <w:tcW w:w="4020" w:type="dxa"/>
            <w:tcBorders>
              <w:top w:val="single" w:sz="4" w:space="0" w:color="000000"/>
              <w:left w:val="single" w:sz="4" w:space="0" w:color="000000"/>
              <w:bottom w:val="single" w:sz="4" w:space="0" w:color="000000"/>
            </w:tcBorders>
          </w:tcPr>
          <w:p>
            <w:pPr>
              <w:pStyle w:val="Style24"/>
              <w:widowControl/>
              <w:spacing w:lineRule="exact" w:line="324"/>
              <w:jc w:val="left"/>
              <w:rPr/>
            </w:pPr>
            <w:r>
              <w:rPr>
                <w:rStyle w:val="FontStyle31"/>
                <w:sz w:val="28"/>
                <w:szCs w:val="28"/>
              </w:rPr>
              <w:t>Количество занимающихся детей</w:t>
            </w:r>
          </w:p>
        </w:tc>
        <w:tc>
          <w:tcPr>
            <w:tcW w:w="2012" w:type="dxa"/>
            <w:tcBorders>
              <w:top w:val="single" w:sz="4" w:space="0" w:color="000000"/>
              <w:left w:val="single" w:sz="4" w:space="0" w:color="000000"/>
              <w:bottom w:val="single" w:sz="4" w:space="0" w:color="000000"/>
              <w:right w:val="single" w:sz="4" w:space="0" w:color="000000"/>
            </w:tcBorders>
          </w:tcPr>
          <w:p>
            <w:pPr>
              <w:pStyle w:val="Style24"/>
              <w:widowControl/>
              <w:spacing w:lineRule="auto" w:line="276"/>
              <w:ind w:left="389" w:right="0"/>
              <w:jc w:val="left"/>
              <w:rPr/>
            </w:pPr>
            <w:r>
              <w:rPr>
                <w:rStyle w:val="FontStyle31"/>
                <w:sz w:val="28"/>
                <w:szCs w:val="28"/>
              </w:rPr>
              <w:t>200</w:t>
            </w:r>
          </w:p>
        </w:tc>
      </w:tr>
      <w:tr>
        <w:trPr>
          <w:trHeight w:val="848" w:hRule="atLeast"/>
        </w:trPr>
        <w:tc>
          <w:tcPr>
            <w:tcW w:w="4020" w:type="dxa"/>
            <w:tcBorders>
              <w:top w:val="single" w:sz="4" w:space="0" w:color="000000"/>
              <w:left w:val="single" w:sz="4" w:space="0" w:color="000000"/>
              <w:bottom w:val="single" w:sz="4" w:space="0" w:color="000000"/>
            </w:tcBorders>
          </w:tcPr>
          <w:p>
            <w:pPr>
              <w:pStyle w:val="Style24"/>
              <w:widowControl/>
              <w:spacing w:lineRule="exact" w:line="317"/>
              <w:jc w:val="left"/>
              <w:rPr/>
            </w:pPr>
            <w:r>
              <w:rPr>
                <w:rStyle w:val="FontStyle31"/>
                <w:sz w:val="28"/>
                <w:szCs w:val="28"/>
              </w:rPr>
              <w:t>Количество видов предоставляемых услуг</w:t>
            </w:r>
          </w:p>
        </w:tc>
        <w:tc>
          <w:tcPr>
            <w:tcW w:w="2012"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200"/>
              <w:jc w:val="center"/>
              <w:rPr/>
            </w:pPr>
            <w:r>
              <w:rPr>
                <w:rStyle w:val="FontStyle31"/>
                <w:sz w:val="28"/>
                <w:szCs w:val="28"/>
              </w:rPr>
              <w:t>Не менее 7 специальностей</w:t>
            </w:r>
          </w:p>
        </w:tc>
      </w:tr>
    </w:tbl>
    <w:p>
      <w:pPr>
        <w:pStyle w:val="Normal"/>
        <w:jc w:val="both"/>
        <w:rPr/>
      </w:pPr>
      <w:r>
        <w:rPr>
          <w:rStyle w:val="FontStyle31"/>
          <w:sz w:val="28"/>
          <w:szCs w:val="28"/>
        </w:rPr>
        <w:t xml:space="preserve">Учащиеся и преподаватели школы активно участвуют в концертах, смотрах, конкурсах, городских и районных праздниках. Школой искусств проведено 13 мероприятий и выставок работ учащихся художественного отделения, концерты для воспитанников детских садов, праздник первоклассника, спектакли, отчетный концерт, хореографические и театрализованные представления, новогодние утренники. Учащиеся школы искусств активно участвовали в международных, всероссийских, региональных, областных и районных смотрах и конкурсах. </w:t>
      </w:r>
    </w:p>
    <w:p>
      <w:pPr>
        <w:pStyle w:val="Style141"/>
        <w:widowControl/>
        <w:jc w:val="both"/>
        <w:rPr>
          <w:rFonts w:ascii="Times New Roman" w:hAnsi="Times New Roman"/>
          <w:sz w:val="28"/>
          <w:szCs w:val="28"/>
        </w:rPr>
      </w:pPr>
      <w:r>
        <w:rPr>
          <w:sz w:val="28"/>
          <w:szCs w:val="28"/>
        </w:rPr>
      </w:r>
    </w:p>
    <w:p>
      <w:pPr>
        <w:pStyle w:val="BodyText"/>
        <w:jc w:val="both"/>
        <w:rPr>
          <w:sz w:val="28"/>
          <w:szCs w:val="34"/>
        </w:rPr>
      </w:pPr>
      <w:r>
        <w:rPr/>
        <w:t> </w:t>
      </w:r>
      <w:r>
        <w:rPr>
          <w:b/>
          <w:bCs/>
          <w:sz w:val="28"/>
          <w:szCs w:val="34"/>
        </w:rPr>
        <w:t>Физическая культура и спорт</w:t>
      </w:r>
    </w:p>
    <w:p>
      <w:pPr>
        <w:pStyle w:val="Normal"/>
        <w:spacing w:before="0" w:after="0"/>
        <w:ind w:firstLine="675"/>
        <w:contextualSpacing/>
        <w:jc w:val="both"/>
        <w:rPr>
          <w:sz w:val="28"/>
          <w:szCs w:val="34"/>
        </w:rPr>
      </w:pPr>
      <w:r>
        <w:rPr>
          <w:sz w:val="28"/>
          <w:szCs w:val="34"/>
        </w:rPr>
      </w:r>
      <w:bookmarkStart w:id="3" w:name="_GoBack"/>
      <w:bookmarkStart w:id="4" w:name="_GoBack"/>
      <w:bookmarkEnd w:id="4"/>
    </w:p>
    <w:p>
      <w:pPr>
        <w:pStyle w:val="Normal"/>
        <w:ind w:firstLine="567"/>
        <w:jc w:val="both"/>
        <w:rPr>
          <w:sz w:val="28"/>
          <w:szCs w:val="28"/>
        </w:rPr>
      </w:pPr>
      <w:r>
        <w:rPr>
          <w:b/>
          <w:iCs/>
          <w:sz w:val="28"/>
          <w:szCs w:val="28"/>
        </w:rPr>
        <w:t>Доля населения, систематически занимающегося физической культурой и спортом</w:t>
      </w:r>
      <w:r>
        <w:rPr>
          <w:i/>
          <w:iCs/>
          <w:sz w:val="28"/>
          <w:szCs w:val="28"/>
        </w:rPr>
        <w:t xml:space="preserve"> </w:t>
      </w:r>
      <w:r>
        <w:rPr>
          <w:sz w:val="28"/>
          <w:szCs w:val="28"/>
        </w:rPr>
        <w:t>составила 24,4% в 2025году и  увеличилось на 37,1% к уровню 2024 года, что  связано с пропагандой здорового образа жизни и планомерной работой по привлечению населения к занятиям физической культурой.</w:t>
      </w:r>
    </w:p>
    <w:p>
      <w:pPr>
        <w:pStyle w:val="Normal"/>
        <w:ind w:firstLine="567"/>
        <w:jc w:val="both"/>
        <w:rPr>
          <w:sz w:val="28"/>
          <w:szCs w:val="28"/>
        </w:rPr>
      </w:pPr>
      <w:r>
        <w:rPr>
          <w:sz w:val="28"/>
          <w:szCs w:val="28"/>
        </w:rPr>
        <w:t>Для всех желающих работают спортивные секции, в том числе детские. Спортивный зал районного Дома культуры используется для проведения соревнований районного, межрегионального и международного уровня, пользуются популярностью у населения спортивные тренажёры на стадионе «Восток» для занятий всех возрастных групп. Число занимающихся спортом с каждым годом увеличивается.</w:t>
      </w:r>
    </w:p>
    <w:p>
      <w:pPr>
        <w:pStyle w:val="Style71"/>
        <w:widowControl/>
        <w:spacing w:lineRule="auto" w:line="240"/>
        <w:ind w:firstLine="567"/>
        <w:rPr>
          <w:sz w:val="28"/>
          <w:szCs w:val="28"/>
        </w:rPr>
      </w:pPr>
      <w:r>
        <w:rPr>
          <w:b/>
          <w:bCs/>
          <w:sz w:val="28"/>
          <w:szCs w:val="28"/>
        </w:rPr>
        <w:t>Доля обучающихся, систематически занимающихся физической культурой и спортом, в общей численности обучающихся</w:t>
      </w:r>
      <w:r>
        <w:rPr>
          <w:bCs/>
          <w:i/>
          <w:sz w:val="28"/>
          <w:szCs w:val="28"/>
        </w:rPr>
        <w:t xml:space="preserve"> </w:t>
      </w:r>
      <w:r>
        <w:rPr>
          <w:sz w:val="28"/>
          <w:szCs w:val="28"/>
        </w:rPr>
        <w:t>составила в 2025году 55 %. В прогнозном периоде показатель прогнозируется увеличится.</w:t>
      </w:r>
    </w:p>
    <w:p>
      <w:pPr>
        <w:pStyle w:val="Normal"/>
        <w:suppressAutoHyphens w:val="false"/>
        <w:spacing w:beforeAutospacing="1" w:after="0"/>
        <w:jc w:val="both"/>
        <w:rPr>
          <w:b/>
          <w:color w:val="000000"/>
          <w:sz w:val="28"/>
          <w:szCs w:val="28"/>
          <w:lang w:eastAsia="ru-RU"/>
        </w:rPr>
      </w:pPr>
      <w:r>
        <w:rPr>
          <w:b/>
          <w:color w:val="000000"/>
          <w:sz w:val="28"/>
          <w:szCs w:val="28"/>
          <w:lang w:eastAsia="ru-RU"/>
        </w:rPr>
        <w:t>Жилищное строительство и обеспечение граждан жильем</w:t>
      </w:r>
    </w:p>
    <w:p>
      <w:pPr>
        <w:pStyle w:val="Normal"/>
        <w:tabs>
          <w:tab w:val="clear" w:pos="708"/>
        </w:tabs>
        <w:jc w:val="both"/>
        <w:rPr/>
      </w:pPr>
      <w:r>
        <w:rPr>
          <w:sz w:val="28"/>
          <w:szCs w:val="28"/>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за 2025 год составила 5</w:t>
      </w:r>
      <w:r>
        <w:rPr>
          <w:rFonts w:eastAsia="Lucida Sans Unicode" w:cs="Tahoma"/>
          <w:color w:val="000000"/>
          <w:kern w:val="2"/>
          <w:sz w:val="28"/>
          <w:szCs w:val="28"/>
          <w:lang w:val="ru-RU" w:eastAsia="zh-CN" w:bidi="zxx"/>
        </w:rPr>
        <w:t>3</w:t>
      </w:r>
      <w:r>
        <w:rPr>
          <w:sz w:val="28"/>
          <w:szCs w:val="28"/>
        </w:rPr>
        <w:t xml:space="preserve"> %.</w:t>
      </w:r>
    </w:p>
    <w:p>
      <w:pPr>
        <w:pStyle w:val="Normal"/>
        <w:tabs>
          <w:tab w:val="clear" w:pos="708"/>
        </w:tabs>
        <w:jc w:val="both"/>
        <w:rPr>
          <w:sz w:val="28"/>
          <w:szCs w:val="28"/>
        </w:rPr>
      </w:pPr>
      <w:r>
        <w:rPr>
          <w:sz w:val="28"/>
          <w:szCs w:val="28"/>
        </w:rPr>
        <w:t xml:space="preserve">       </w:t>
      </w:r>
      <w:r>
        <w:rPr>
          <w:sz w:val="28"/>
          <w:szCs w:val="28"/>
        </w:rPr>
        <w:t xml:space="preserve">В 2025 году отремонтировано </w:t>
      </w:r>
      <w:r>
        <w:rPr>
          <w:rFonts w:eastAsia="Lucida Sans Unicode" w:cs="Tahoma"/>
          <w:color w:val="000000"/>
          <w:kern w:val="2"/>
          <w:sz w:val="28"/>
          <w:szCs w:val="28"/>
          <w:lang w:val="ru-RU" w:eastAsia="zh-CN" w:bidi="zxx"/>
        </w:rPr>
        <w:t>11,0</w:t>
      </w:r>
      <w:r>
        <w:rPr>
          <w:sz w:val="28"/>
          <w:szCs w:val="28"/>
        </w:rPr>
        <w:t xml:space="preserve"> км. автодорог, </w:t>
      </w:r>
      <w:r>
        <w:rPr>
          <w:rFonts w:eastAsia="Lucida Sans Unicode" w:cs="Tahoma"/>
          <w:color w:val="000000"/>
          <w:kern w:val="2"/>
          <w:sz w:val="28"/>
          <w:szCs w:val="28"/>
          <w:lang w:val="ru-RU" w:eastAsia="zh-CN" w:bidi="zxx"/>
        </w:rPr>
        <w:t>в следствие чего</w:t>
      </w:r>
      <w:r>
        <w:rPr>
          <w:sz w:val="28"/>
          <w:szCs w:val="28"/>
        </w:rPr>
        <w:t xml:space="preserve">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должна составить 52 %. В дальнейшем данный показатель планируется уменьшать.</w:t>
      </w:r>
    </w:p>
    <w:p>
      <w:pPr>
        <w:pStyle w:val="Normal"/>
        <w:jc w:val="both"/>
        <w:rPr>
          <w:sz w:val="28"/>
          <w:szCs w:val="28"/>
        </w:rPr>
      </w:pPr>
      <w:r>
        <w:rPr>
          <w:sz w:val="28"/>
          <w:szCs w:val="28"/>
        </w:rPr>
      </w:r>
    </w:p>
    <w:p>
      <w:pPr>
        <w:pStyle w:val="Normal"/>
        <w:jc w:val="both"/>
        <w:rPr>
          <w:sz w:val="28"/>
          <w:szCs w:val="28"/>
        </w:rPr>
      </w:pPr>
      <w:r>
        <w:rPr>
          <w:sz w:val="28"/>
          <w:szCs w:val="28"/>
        </w:rPr>
        <w:t xml:space="preserve">В 2025 году введено в эксплуатацию жилых домов в количестве </w:t>
      </w:r>
      <w:r>
        <w:rPr>
          <w:rFonts w:eastAsia="Lucida Sans Unicode" w:cs="Tahoma"/>
          <w:color w:val="000000"/>
          <w:kern w:val="2"/>
          <w:sz w:val="28"/>
          <w:szCs w:val="28"/>
          <w:lang w:val="ru-RU" w:eastAsia="zh-CN" w:bidi="zxx"/>
        </w:rPr>
        <w:t>16</w:t>
      </w:r>
      <w:r>
        <w:rPr>
          <w:sz w:val="28"/>
          <w:szCs w:val="28"/>
        </w:rPr>
        <w:t>, общей площадью 2</w:t>
      </w:r>
      <w:r>
        <w:rPr>
          <w:rFonts w:eastAsia="Lucida Sans Unicode" w:cs="Tahoma"/>
          <w:color w:val="000000"/>
          <w:kern w:val="2"/>
          <w:sz w:val="28"/>
          <w:szCs w:val="28"/>
          <w:lang w:val="ru-RU" w:eastAsia="zh-CN" w:bidi="zxx"/>
        </w:rPr>
        <w:t xml:space="preserve"> 500</w:t>
      </w:r>
      <w:r>
        <w:rPr>
          <w:sz w:val="28"/>
          <w:szCs w:val="28"/>
        </w:rPr>
        <w:t xml:space="preserve"> кв.м. При этом стоит отметить, удельный вес жилых домов, построенных населением составляет 100%, следовательно на территории Демидовского муниципального округа ведут строительство индивидуальные застройщики. По состоянию на 01.04.2026 год введено </w:t>
      </w:r>
      <w:r>
        <w:rPr>
          <w:rFonts w:eastAsia="Lucida Sans Unicode" w:cs="Tahoma"/>
          <w:color w:val="000000"/>
          <w:kern w:val="2"/>
          <w:sz w:val="28"/>
          <w:szCs w:val="28"/>
          <w:lang w:val="ru-RU" w:eastAsia="zh-CN" w:bidi="zxx"/>
        </w:rPr>
        <w:t>5</w:t>
      </w:r>
      <w:r>
        <w:rPr>
          <w:sz w:val="28"/>
          <w:szCs w:val="28"/>
        </w:rPr>
        <w:t xml:space="preserve"> жилых домов, общей площадью </w:t>
      </w:r>
      <w:r>
        <w:rPr>
          <w:rFonts w:eastAsia="Lucida Sans Unicode" w:cs="Tahoma"/>
          <w:color w:val="000000"/>
          <w:kern w:val="2"/>
          <w:sz w:val="28"/>
          <w:szCs w:val="28"/>
          <w:lang w:val="ru-RU" w:eastAsia="zh-CN" w:bidi="zxx"/>
        </w:rPr>
        <w:t>623,6</w:t>
      </w:r>
      <w:r>
        <w:rPr>
          <w:sz w:val="28"/>
          <w:szCs w:val="28"/>
        </w:rPr>
        <w:t xml:space="preserve"> кв.м.. В дальнейшем данный показатель планируется увеличивать.</w:t>
      </w:r>
    </w:p>
    <w:p>
      <w:pPr>
        <w:pStyle w:val="Normal"/>
        <w:jc w:val="both"/>
        <w:rPr>
          <w:sz w:val="28"/>
          <w:szCs w:val="28"/>
        </w:rPr>
      </w:pPr>
      <w:r>
        <w:rPr>
          <w:sz w:val="28"/>
          <w:szCs w:val="28"/>
        </w:rPr>
      </w:r>
    </w:p>
    <w:p>
      <w:pPr>
        <w:pStyle w:val="Normal"/>
        <w:jc w:val="both"/>
        <w:rPr>
          <w:sz w:val="28"/>
          <w:szCs w:val="28"/>
        </w:rPr>
      </w:pPr>
      <w:r>
        <w:rPr>
          <w:sz w:val="28"/>
          <w:szCs w:val="28"/>
        </w:rPr>
        <w:t xml:space="preserve">В 2025 году подготовлено и выдано </w:t>
      </w:r>
      <w:r>
        <w:rPr>
          <w:rFonts w:eastAsia="Lucida Sans Unicode" w:cs="Tahoma"/>
          <w:color w:val="000000"/>
          <w:kern w:val="2"/>
          <w:sz w:val="28"/>
          <w:szCs w:val="28"/>
          <w:lang w:val="ru-RU" w:eastAsia="zh-CN" w:bidi="zxx"/>
        </w:rPr>
        <w:t>52</w:t>
      </w:r>
      <w:r>
        <w:rPr>
          <w:sz w:val="28"/>
          <w:szCs w:val="28"/>
        </w:rPr>
        <w:t xml:space="preserve">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По состоянию на 01.04.2026 год выдано </w:t>
      </w:r>
      <w:r>
        <w:rPr>
          <w:rFonts w:eastAsia="Lucida Sans Unicode" w:cs="Tahoma"/>
          <w:color w:val="000000"/>
          <w:kern w:val="2"/>
          <w:sz w:val="28"/>
          <w:szCs w:val="28"/>
          <w:lang w:val="ru-RU" w:eastAsia="zh-CN" w:bidi="zxx"/>
        </w:rPr>
        <w:t>6</w:t>
      </w:r>
      <w:r>
        <w:rPr>
          <w:sz w:val="28"/>
          <w:szCs w:val="28"/>
        </w:rPr>
        <w:t xml:space="preserve"> уведомлений.</w:t>
      </w:r>
    </w:p>
    <w:p>
      <w:pPr>
        <w:pStyle w:val="Normal"/>
        <w:jc w:val="both"/>
        <w:rPr>
          <w:sz w:val="28"/>
          <w:szCs w:val="28"/>
        </w:rPr>
      </w:pPr>
      <w:r>
        <w:rPr>
          <w:sz w:val="28"/>
          <w:szCs w:val="28"/>
        </w:rPr>
      </w:r>
    </w:p>
    <w:p>
      <w:pPr>
        <w:pStyle w:val="Normal"/>
        <w:jc w:val="both"/>
        <w:rPr>
          <w:sz w:val="28"/>
          <w:szCs w:val="28"/>
        </w:rPr>
      </w:pPr>
      <w:r>
        <w:rPr>
          <w:sz w:val="28"/>
          <w:szCs w:val="28"/>
        </w:rPr>
        <w:t xml:space="preserve">Разработано </w:t>
      </w:r>
      <w:r>
        <w:rPr>
          <w:rFonts w:eastAsia="Lucida Sans Unicode" w:cs="Tahoma"/>
          <w:color w:val="000000"/>
          <w:kern w:val="2"/>
          <w:sz w:val="28"/>
          <w:szCs w:val="28"/>
          <w:lang w:val="ru-RU" w:eastAsia="zh-CN" w:bidi="zxx"/>
        </w:rPr>
        <w:t>39</w:t>
      </w:r>
      <w:r>
        <w:rPr>
          <w:sz w:val="28"/>
          <w:szCs w:val="28"/>
        </w:rPr>
        <w:t xml:space="preserve"> градостроительных планов земельных участков.</w:t>
      </w:r>
    </w:p>
    <w:p>
      <w:pPr>
        <w:pStyle w:val="Normal"/>
        <w:jc w:val="both"/>
        <w:rPr>
          <w:sz w:val="28"/>
          <w:szCs w:val="28"/>
        </w:rPr>
      </w:pPr>
      <w:r>
        <w:rPr>
          <w:sz w:val="28"/>
          <w:szCs w:val="28"/>
        </w:rPr>
        <w:t xml:space="preserve"> </w:t>
      </w:r>
    </w:p>
    <w:p>
      <w:pPr>
        <w:pStyle w:val="Normal"/>
        <w:tabs>
          <w:tab w:val="clear" w:pos="708"/>
        </w:tabs>
        <w:jc w:val="both"/>
        <w:rPr/>
      </w:pPr>
      <w:r>
        <w:rPr>
          <w:sz w:val="28"/>
          <w:szCs w:val="28"/>
        </w:rPr>
        <w:t xml:space="preserve">   </w:t>
      </w:r>
      <w:r>
        <w:rPr>
          <w:rFonts w:eastAsia="Lucida Sans Unicode" w:cs="Tahoma"/>
          <w:b w:val="false"/>
          <w:i w:val="false"/>
          <w:strike w:val="false"/>
          <w:dstrike w:val="false"/>
          <w:outline w:val="false"/>
          <w:shadow w:val="false"/>
          <w:color w:val="000000"/>
          <w:kern w:val="2"/>
          <w:sz w:val="28"/>
          <w:szCs w:val="28"/>
          <w:u w:val="none"/>
          <w:em w:val="none"/>
          <w:lang w:val="ru-RU" w:eastAsia="zh-CN" w:bidi="zxx"/>
        </w:rPr>
        <w:t>Объектов</w:t>
      </w:r>
      <w:r>
        <w:rPr>
          <w:b w:val="false"/>
          <w:i w:val="false"/>
          <w:strike w:val="false"/>
          <w:dstrike w:val="false"/>
          <w:outline w:val="false"/>
          <w:shadow w:val="false"/>
          <w:sz w:val="28"/>
          <w:szCs w:val="28"/>
          <w:u w:val="none"/>
          <w:em w:val="none"/>
        </w:rPr>
        <w:t xml:space="preserve"> не завершенного в установленные сроки строительства, осуществляемого за счет средств бюджета муниципального, городского округа  (муниципального района) не имеется.</w:t>
      </w:r>
    </w:p>
    <w:p>
      <w:pPr>
        <w:pStyle w:val="Normal"/>
        <w:tabs>
          <w:tab w:val="clear" w:pos="708"/>
        </w:tabs>
        <w:jc w:val="both"/>
        <w:rPr>
          <w:sz w:val="28"/>
          <w:szCs w:val="28"/>
        </w:rPr>
      </w:pPr>
      <w:r>
        <w:rPr>
          <w:sz w:val="28"/>
          <w:szCs w:val="28"/>
        </w:rPr>
      </w:r>
    </w:p>
    <w:p>
      <w:pPr>
        <w:pStyle w:val="Normal"/>
        <w:jc w:val="both"/>
        <w:rPr>
          <w:sz w:val="28"/>
          <w:szCs w:val="28"/>
        </w:rPr>
      </w:pPr>
      <w:r>
        <w:rPr>
          <w:rFonts w:eastAsia="Lucida Sans Unicode" w:cs="Tahoma"/>
          <w:b w:val="false"/>
          <w:bCs w:val="false"/>
          <w:color w:val="000000"/>
          <w:kern w:val="2"/>
          <w:sz w:val="28"/>
          <w:szCs w:val="28"/>
          <w:lang w:val="ru-RU" w:eastAsia="zh-CN" w:bidi="zxx"/>
        </w:rPr>
        <w:t xml:space="preserve">  </w:t>
      </w:r>
      <w:r>
        <w:rPr>
          <w:b w:val="false"/>
          <w:i w:val="false"/>
          <w:strike w:val="false"/>
          <w:dstrike w:val="false"/>
          <w:outline w:val="false"/>
          <w:shadow w:val="false"/>
          <w:sz w:val="28"/>
          <w:szCs w:val="28"/>
          <w:u w:val="none"/>
          <w:em w:val="none"/>
        </w:rP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составляет 30 %, данный показатель остается не измененным в связи с тем, что ежегодно улучшает жилищные условия только одна семья в рамках муниципальной программы «Обеспечение жильем молодых семей» в рамках выделенных денежных средств.</w:t>
      </w:r>
    </w:p>
    <w:p>
      <w:pPr>
        <w:pStyle w:val="Normal"/>
        <w:jc w:val="both"/>
        <w:rPr>
          <w:sz w:val="28"/>
          <w:szCs w:val="28"/>
          <w:lang w:eastAsia="ru-RU"/>
        </w:rPr>
      </w:pPr>
      <w:r>
        <w:rPr>
          <w:sz w:val="28"/>
          <w:szCs w:val="28"/>
          <w:lang w:eastAsia="ru-RU"/>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bCs/>
          <w:sz w:val="28"/>
          <w:szCs w:val="28"/>
        </w:rPr>
        <w:t>Организация муниципального управления</w:t>
      </w:r>
    </w:p>
    <w:p>
      <w:pPr>
        <w:pStyle w:val="Normal"/>
        <w:ind w:firstLine="720"/>
        <w:jc w:val="both"/>
        <w:rPr>
          <w:b/>
          <w:i/>
          <w:sz w:val="28"/>
          <w:szCs w:val="28"/>
        </w:rPr>
      </w:pPr>
      <w:r>
        <w:rPr>
          <w:b/>
          <w:i/>
          <w:sz w:val="28"/>
          <w:szCs w:val="28"/>
        </w:rPr>
      </w:r>
    </w:p>
    <w:p>
      <w:pPr>
        <w:pStyle w:val="Normal"/>
        <w:ind w:firstLine="709"/>
        <w:jc w:val="both"/>
        <w:rPr>
          <w:color w:val="000000"/>
          <w:sz w:val="28"/>
          <w:szCs w:val="28"/>
        </w:rPr>
      </w:pPr>
      <w:r>
        <w:rPr>
          <w:color w:val="000000"/>
          <w:sz w:val="28"/>
          <w:szCs w:val="28"/>
        </w:rPr>
        <w:t xml:space="preserve">  </w:t>
      </w:r>
    </w:p>
    <w:p>
      <w:pPr>
        <w:pStyle w:val="Normal"/>
        <w:tabs>
          <w:tab w:val="clear" w:pos="708"/>
          <w:tab w:val="left" w:pos="980" w:leader="none"/>
        </w:tabs>
        <w:jc w:val="both"/>
        <w:rPr>
          <w:sz w:val="28"/>
          <w:szCs w:val="28"/>
        </w:rPr>
      </w:pPr>
      <w:r>
        <w:rPr>
          <w:bCs/>
          <w:sz w:val="28"/>
          <w:szCs w:val="28"/>
        </w:rPr>
        <w:t xml:space="preserve">За 2025 год доходная часть бюджета муниципального образования «Демидовский муниципальный округ» Смоленской области выполнена на 99,7 % от годового плана (988 577,9 тыс. рублей) и составляет 985 892,0 тыс. рублей из них: 1) налоговые и неналоговые доходы выполнены на 107,8 и составили 114 718,9 тыс. рублей, в том числе: - налоговые доходы выполнены на 105,8% и составляют 108 875,7 тыс. рублей; - неналоговые доходы выполнены на 166,4% и составляют 5 843,2 тыс. рублей; 2) безвозмездные поступления выполнены на 98,8% и составили 871 173,1 тыс. рублей, из них: - дотации в сумме 253 776,4 тыс. рублей; - субсидии в сумме 346 704,6 тыс. рублей; - субвенции в сумме 268 121,5 тыс. рублей; - иные межбюджетные трансферты в сумме 2 574,5 тыс. рублей; - возврат остатков – 3,9 тыс. рублей. На 2026 год доходная часть бюджета муниципального образования «Демидовский муниципальный округ» Смоленской области запланирована в сумме 1 309 283,4 тыс. рублей, в том числе: 1) налоговые и неналоговые доходы в сумме 114 143,7 тыс. рублей. Снижение плана 2026 года по сравнению с фактом 2025 года (114 718,9 тыс. рублей) составляет 0,5 процента и объясняется, в основном, не планированием на 2026 год поступлений доходов от продажи материальных и нематериальных активов (доходов от продажи земли); 2) безвозмездные поступления в сумме 1 195 139,7 тыс. рублей, из них: - дотации в сумме 301 042,0 тыс. рублей; - субсидии в сумме 617 986,9 тыс. рублей; - субвенции в сумме 276 110,8 тыс. рублей; - иные межбюджетные трансферты в сумме 0,0 тыс. рублей; - возврат остатков 0,0 тыс. рублей. На 2027 год доходная часть бюджета муниципального образования «Демидовский муниципальный округ» Смоленской области запланирована в сумме 627 304,1 тыс. рублей, в том числе: 1) налоговые и неналоговые доходы в сумме 129 240,9 тыс. рублей или с ростом к плану 2026 года (114 143,7 тыс. рублей) на 13,2 процента. Рост ожидается, в основном, по налоговым доходам: налогу на доходы физических лиц, за счет ожидаемого роста заработной платы и ожидаемого роста оборота розничной торговли, общепита, платных услуг населению; по патентной системе налогообложения; по земельному налогу; по госпошлине по делам, рассматриваемым в судах общей юрисдикции, мировыми судьями (за исключением Верховного Суда Российской Федерации), по акцизам на нефтепродукты, с учетом  </w:t>
      </w:r>
      <w:r>
        <w:rPr>
          <w:sz w:val="28"/>
          <w:szCs w:val="28"/>
        </w:rPr>
        <w:t xml:space="preserve">прогноза социально-экономического развития муниципального образования «Демидовский муниципальный округ» Смоленской области на 2026 год и на плановый период 2027 и 2028 годов; 2) безвозмездные поступления в сумме 498 063,2 тыс. рублей, из них: - дотации в сумме 183 095,0 тыс. рублей; - субсидии в сумме 20 817,3 тыс. рублей; - субвенции в сумме 294 150,9 тыс. рублей; - иные межбюджетные трансферты в сумме 0,0 тыс. рублей. На 2028 год доходная часть бюджета муниципального образования «Демидовский муниципальный округ» Смоленской области запланирована в сумме 650 485,6 тыс. рублей, в том числе: 1) налоговые и неналоговые доходы в сумме 134 619,4 тыс. рублей или с ростом к плану 2027 года (129 240,9 тыс. рублей) на 4,2 процента. Рост в 2028 году также ожидается по налоговым доходам: налогу на доходы физических лиц, патентной системе налогообложения, упрощенной системе налогообложения; по налогу на имущество физических лиц; по земельному налогу, по госпошлине по делам, рассматриваемым в судах общей юрисдикции, мировыми судьями (за исключением Верховного Суда Российской Федерации), с учетом прогноза социально-экономического развития муниципального образования «Демидовский муниципальный округ» Смоленской области на 2026 год и на плановый период 2027 и 2028 годов; 2) безвозмездные поступления в сумме 515 866,2 тыс. рублей, из них: - дотации в сумме 181 213,0 тыс. рублей; - субсидии в сумме 22 496,6 тыс. рублей; - субвенции в сумме 312 156,6 тыс. рублей; - иные межбюджетные трансферты в сумме 0,0 тыс. рублей. Расходы бюджета муниципального образования «Демидовский муниципальный округ» Смоленской области за 2025 год исполнены на 99,5% от годового плана (994 745,5 тыс. рублей), что составляет 990 244,4 тыс. рублей, из них на содержание работников органов местного самоуправления в сумме 84 281,8 тыс. рублей. Исходя из оценки показателя численности населения за 2025 год в среднегодовом исчислении, согласно формы по основным показателям прогноза социально-экономического развития муниципального образования «Демидовский муниципальный округ» Смоленской области - 10,4 тыс. чел., расходы на содержание работников органов местного самоуправления за 2025 год в расчете на одного жителя составили 8 104, 0 рублей. На 2026 год расходная часть бюджета муниципального образования «Демидовский муниципальный округ» Смоленской области запланирована в сумме 1 314 847,4 тыс. рублей, из них на содержание работников органов местного самоуправления в сумме 98 425,7 тыс. рублей. Исходя из прогнозируемой численности населения на 1 января 2026 года, согласно формы по основным показателям прогноза социально-экономического развития муниципального образования «Демидовский муниципальный округ» Смоленской области - 10 351 чел., расходы на содержание работников органов местного самоуправления на 2026 год в расчете на одного жителя составляют 9 508,8 руб. Увеличение расходов на содержание работников органов местного самоуправления по сравнению с 2025 годом объясняется увеличением: - минимального размера оплаты труда; - нормативов, в соответствии с постановлениями Правительства Смоленской области от 17.12.2024 №988, от 20.12.2024 №1000; - тарифов ЖКХ. На плановый период расходы бюджета муниципального образования «Демидовский муниципальный округ» Смоленской области запланированы: на 2027 год в сумме 619 960,1 тыс. рублей, из них на содержание работников органов местного самоуправления в сумме 90 563,2 тыс. рублей; на 2028 год в сумме 635 251,3 тыс. рублей, из них на содержание работников органов местного самоуправления в сумме 91 137,1 тыс. рублей. Потенциальные возможности увеличения доходной части бюджета Потенциальные возможности увеличения доходной части бюджета на 2026 год и плановый период 2027 и 2028 годов отражены в постановлении Администрации муниципального образования «Демидовский муниципальный округ» Смоленской области от 12.11.2025 № 1291/1 «Об утверждении основных направлений бюджетной и налоговой политики муниципального образования «Демидовский муниципальный округ» Смоленской области на 2026 год и на плановый период 2027 и 2028 годов» Основными целями бюджетной и налоговой политики муниципального образования «Демидовский муниципальный округ» на 2026 год и на плановый период 2027 и 2028 годов являются обеспечение долгосрочной сбалансированности и финансовой устойчивости бюджетной системы муниципального образования «Демидовский муниципальный округ», создание условий для обеспечения максимально эффективного управления общественными финансами с учетом современных условий и перспектив развития экономики муниципального образования «Демидовский муниципальный округ» на фоне повышения качества администрирования доходной части бюджета. Налоговая политика муниципального образования «Демидовский муниципальный округ» Смоленской области на 2026 год и на плановый период 2027 и 2028 годов в условиях сложившейся экономической ситуации будет направлена на решение следующих задач: - мобилизация доходов местного бюджета, достижение устойчивой сбалансированности местного бюджета, максимально эффективное использование имущественных ресурсов; - повышение ответственности и результативности деятельности главных администраторов и администраторов доходов местного бюджета, направленной на безусловное выполнение всеми плательщиками своих обязательств перед местным бюджетом (эффективное прогнозирование, своевременность, полнота поступлений и сокращение задолженности по администрируемым платежам). Для реализации поставленных задач предполагается следующее: 1) реализация мероприятий, направленных на увеличение налоговой базы местного бюджета, прежде всего за счет улучшения администрирования уже существующих налогов, а также за счет привлечения инвестиций; 2) своевременная реализация изменений федерального и регионального налогового законодательства в части налогов, поступающих в местный бюджет; 3) совершенствование взаимодействия с налоговыми органами, усиление мер воздействия на плательщиков, имеющих задолженность по платежам, поступающим в местный бюджет; 4) повышение эффективности деятельности Межведомственной комиссии при Администрации муниципального образования «Демидовский муниципальный округ» Смоленской области по координации работы, связанной с решением вопросов своевременной выплаты и регулирования уровня заработной платы, предотвращения фактов выплаты «теневой» заработной платы, увеличения собираемости и сокращения задолженности налоговых и неналоговых платежей в местный бюджет, снижения неформальной занятости на территории муниципального образования «Демидовский муниципальный округ» Смоленской области; 5) совершенствование работы администраторов поступлений, усиление их контрольной функции; 6) расширение налогооблагаемой базы путем реализации мероприятий по содействию предпринимательской активности и развитию малого и среднего бизнеса на территории муниципального образования «Демидовский муниципальный округ» Смоленской области; 7) увеличение поступления доходов от повышения эффективности управления муниципальной собственностью, в том числе за счет повышения качества претензионно-исковой работы; 8) эффективное использование имущественных, земельных и природных ресурсов, находящихся на территории муниципального образования «Демидовский муниципальный округ» Смоленской области; 9) выявление и постановка на учет вновь открывшихся юридических лиц и индивидуальных предпринимателей, осуществляющих деятельность на территории муниципального образования «Демидовский муниципальный округ» Смоленской области; 10) усиление контроля за своевременностью и полнотой внесения арендной платы за имущество и землю. 11) повышение инвестиционной привлекательности муниципального образования «Демидовский муниципальный округ» Смоленской области. Мероприятия, проведенные в 2025 году, направленные на увеличение собственной доходной базы местного бюджета Для увеличения поступления налоговых и неналоговых доходов бюджета муниципального образования «Демидовский муниципальный округ» Смоленской области, при Администрации муниципального образования «Демидовский муниципальный округ» Смоленской области с 2006 года создана и работает Межведомственная комиссия по проведению работы с юридическими и физическими лицами, имеющими задолженность в бюджет муниципального образования «Демидовский муниципальный округ» Смоленской области и внебюджетные фонды, в состав которой, кроме работников Администрации, входят представители федеральных структур: налоговой инспекции, службы занятости, ОСФР по Смоленской области, Отдела полиции, Службы судебных приставов, Прокуратуры (далее - Межведомственная комиссия). В 2025 году проведено 12 заседаний Межведомственной комиссии. В рамках работы Межведомственной комиссии в 2025 году проводились следующие мероприятия: 1) проводилась работа по дополнительной мобилизации налогов и сборов: Председателям территориальных комитетов направлялись списки физических лиц, имеющих задолженность в бюджет по местным налогам, для организации работы по ликвидации задолженности; 2) перед всеми администраторами доходов бюджета поставлена задача по безусловному выполнению плановых показателей; 3) проводились мероприятия по погашению физическими лицами, являющимися должностными лицами органов местного самоуправления, муниципальными служащими и работниками муниципальных предприятий и учреждений, задолженности по имущественным налогам, а также другие мероприятия, направленные на увеличение доходной части местного бюджета. Результаты работы Межведомственной комиссии за 2025 год: 1) По результатам работы комиссии сумма поступлений составила 223,95 тыс. рублей: - от физических лиц – 193,95 тыс. рублей; - от индивидуальных предпринимателей- 30,0 тыс. рублей. 2) легализовано 14 человек: 11 работодателей заключили трудовые договора с 13 наемными работниками, 1 человек зарегистрировался в качестве индивидуального предпринимателя. </w:t>
      </w:r>
    </w:p>
    <w:p>
      <w:pPr>
        <w:pStyle w:val="BodyTextIndent3"/>
        <w:tabs>
          <w:tab w:val="clear" w:pos="708"/>
          <w:tab w:val="left" w:pos="980" w:leader="none"/>
        </w:tabs>
        <w:spacing w:before="0" w:after="0"/>
        <w:ind w:firstLine="284" w:left="0"/>
        <w:jc w:val="both"/>
        <w:rPr>
          <w:sz w:val="28"/>
          <w:szCs w:val="28"/>
        </w:rPr>
      </w:pPr>
      <w:r>
        <w:rPr>
          <w:sz w:val="28"/>
          <w:szCs w:val="28"/>
        </w:rPr>
        <w:t xml:space="preserve">  </w:t>
      </w:r>
    </w:p>
    <w:p>
      <w:pPr>
        <w:pStyle w:val="Normal"/>
        <w:tabs>
          <w:tab w:val="clear" w:pos="708"/>
          <w:tab w:val="left" w:pos="142" w:leader="none"/>
        </w:tabs>
        <w:jc w:val="both"/>
        <w:rPr>
          <w:sz w:val="28"/>
          <w:szCs w:val="28"/>
        </w:rPr>
      </w:pPr>
      <w:r>
        <w:rPr>
          <w:sz w:val="28"/>
          <w:szCs w:val="28"/>
        </w:rPr>
        <w:t xml:space="preserve">   </w:t>
      </w:r>
      <w:r>
        <w:rPr>
          <w:b/>
          <w:bCs/>
          <w:sz w:val="28"/>
          <w:szCs w:val="28"/>
        </w:rPr>
        <w:t>Энергосбережение и повышение энергоэффективности</w:t>
      </w:r>
    </w:p>
    <w:p>
      <w:pPr>
        <w:pStyle w:val="Normal"/>
        <w:ind w:firstLine="720"/>
        <w:jc w:val="both"/>
        <w:rPr>
          <w:b/>
          <w:i/>
          <w:sz w:val="28"/>
          <w:szCs w:val="28"/>
        </w:rPr>
      </w:pPr>
      <w:r>
        <w:rPr>
          <w:b/>
          <w:i/>
          <w:sz w:val="28"/>
          <w:szCs w:val="28"/>
        </w:rPr>
      </w:r>
    </w:p>
    <w:p>
      <w:pPr>
        <w:pStyle w:val="Normal"/>
        <w:tabs>
          <w:tab w:val="clear" w:pos="708"/>
          <w:tab w:val="left" w:pos="1980" w:leader="none"/>
        </w:tabs>
        <w:ind w:firstLine="567"/>
        <w:jc w:val="both"/>
        <w:rPr>
          <w:b/>
          <w:bCs/>
          <w:sz w:val="28"/>
          <w:szCs w:val="28"/>
        </w:rPr>
      </w:pPr>
      <w:r>
        <w:rPr>
          <w:b/>
          <w:bCs/>
          <w:sz w:val="28"/>
          <w:szCs w:val="28"/>
        </w:rPr>
        <w:t>Удельная величина потребления энергетических ресурсов (электрическая и тепловая энергия, вода, природный газ) в многоквартирных домах (из расчета на одного человека):</w:t>
      </w:r>
    </w:p>
    <w:p>
      <w:pPr>
        <w:pStyle w:val="Normal"/>
        <w:ind w:firstLine="567"/>
        <w:jc w:val="both"/>
        <w:rPr>
          <w:sz w:val="28"/>
          <w:szCs w:val="28"/>
        </w:rPr>
      </w:pPr>
      <w:r>
        <w:rPr>
          <w:sz w:val="28"/>
          <w:szCs w:val="28"/>
        </w:rPr>
        <w:t xml:space="preserve">Удельная величина потребления электрической энергии в многоквартирных домах на одного проживающего  за 15,9 кВт*ч.  составила 855  кВт*ч. В плановом периоде не ожидается значительных изменений данного показателя. </w:t>
      </w:r>
    </w:p>
    <w:p>
      <w:pPr>
        <w:pStyle w:val="Normal"/>
        <w:ind w:firstLine="567"/>
        <w:jc w:val="both"/>
        <w:rPr>
          <w:sz w:val="28"/>
          <w:szCs w:val="28"/>
        </w:rPr>
      </w:pPr>
      <w:r>
        <w:rPr>
          <w:sz w:val="28"/>
          <w:szCs w:val="28"/>
        </w:rPr>
        <w:t xml:space="preserve">Удельная величина потребления тепловой энергии в многоквартирных домах в 2025 году  составила 0,231 Гкал на 1 кв.м. общей площади. </w:t>
      </w:r>
    </w:p>
    <w:p>
      <w:pPr>
        <w:pStyle w:val="Normal"/>
        <w:ind w:firstLine="567"/>
        <w:jc w:val="both"/>
        <w:rPr>
          <w:sz w:val="28"/>
          <w:szCs w:val="28"/>
        </w:rPr>
      </w:pPr>
      <w:r>
        <w:rPr>
          <w:sz w:val="28"/>
          <w:szCs w:val="28"/>
        </w:rPr>
        <w:t xml:space="preserve">Потребление холодной воды в многоквартирных домах в 2025 году практически не изменилось и  составило 35,5 куб.м. </w:t>
      </w:r>
    </w:p>
    <w:p>
      <w:pPr>
        <w:pStyle w:val="Heading1"/>
        <w:shd w:val="clear" w:color="auto" w:fill="FFFFFF"/>
        <w:spacing w:beforeAutospacing="0" w:before="0" w:afterAutospacing="0" w:after="0"/>
        <w:ind w:firstLine="567" w:right="-5"/>
        <w:jc w:val="both"/>
        <w:rPr>
          <w:b w:val="false"/>
          <w:bCs w:val="false"/>
          <w:sz w:val="28"/>
          <w:szCs w:val="28"/>
        </w:rPr>
      </w:pPr>
      <w:r>
        <w:rPr>
          <w:b w:val="false"/>
          <w:sz w:val="28"/>
          <w:szCs w:val="28"/>
        </w:rPr>
        <w:t>Потребление природного газа в отчетном году  составило 365  куб.метров на 1 проживающего, что  аналогично показателю 2024г.</w:t>
      </w:r>
    </w:p>
    <w:p>
      <w:pPr>
        <w:pStyle w:val="Normal"/>
        <w:ind w:firstLine="567"/>
        <w:jc w:val="both"/>
        <w:rPr>
          <w:sz w:val="28"/>
          <w:szCs w:val="28"/>
        </w:rPr>
      </w:pPr>
      <w:r>
        <w:rPr>
          <w:sz w:val="28"/>
          <w:szCs w:val="28"/>
        </w:rPr>
        <w:tab/>
        <w:t>В перспективе изменения значения показателя не планируется.</w:t>
      </w:r>
    </w:p>
    <w:p>
      <w:pPr>
        <w:pStyle w:val="Normal"/>
        <w:ind w:firstLine="567"/>
        <w:jc w:val="both"/>
        <w:rPr>
          <w:b/>
          <w:bCs/>
          <w:sz w:val="28"/>
          <w:szCs w:val="28"/>
        </w:rPr>
      </w:pPr>
      <w:r>
        <w:rPr>
          <w:b/>
          <w:bCs/>
          <w:sz w:val="28"/>
          <w:szCs w:val="28"/>
        </w:rPr>
        <w:t>Удельная величина потребления энергетических ресурсов (электрическая и тепловая энергия, вода, природный газ) муниципальными бюджетными учреждениями (из расчета на  одного человека населения):</w:t>
      </w:r>
    </w:p>
    <w:p>
      <w:pPr>
        <w:pStyle w:val="Normal"/>
        <w:ind w:firstLine="567"/>
        <w:jc w:val="both"/>
        <w:rPr>
          <w:sz w:val="28"/>
          <w:szCs w:val="28"/>
        </w:rPr>
      </w:pPr>
      <w:r>
        <w:rPr>
          <w:sz w:val="28"/>
          <w:szCs w:val="28"/>
        </w:rPr>
        <w:t>Удельная величина потребления электрической энергии в муниципальных бюджетных учреждениях района в 2025 году составила 234 кВт*ч на 1 человека, что аналогично значению показателя за  2024 год. Планируется продолжить  реализацию</w:t>
      </w:r>
      <w:r>
        <w:rPr>
          <w:bCs/>
          <w:sz w:val="28"/>
          <w:szCs w:val="28"/>
        </w:rPr>
        <w:t xml:space="preserve"> мероприятий по энергосбережению и повышению энергетической эффективности, что бы не допустить роста значения показателя.</w:t>
      </w:r>
    </w:p>
    <w:p>
      <w:pPr>
        <w:pStyle w:val="Normal"/>
        <w:ind w:firstLine="567"/>
        <w:jc w:val="both"/>
        <w:rPr>
          <w:sz w:val="28"/>
          <w:szCs w:val="28"/>
        </w:rPr>
      </w:pPr>
      <w:r>
        <w:rPr>
          <w:sz w:val="28"/>
          <w:szCs w:val="28"/>
        </w:rPr>
        <w:t>Удельная величина потребления тепловой энергии в муниципальных бюджетных учреждениях района в 2025 году сохранилась  на 0,15 Гкал на 1 кв.м. общей площади.  В перспективе  показатель планируется удержать на достигнутой отметке за счет мероприятий по предотвращению потерь тепла.</w:t>
      </w:r>
    </w:p>
    <w:p>
      <w:pPr>
        <w:pStyle w:val="Normal"/>
        <w:ind w:firstLine="567"/>
        <w:jc w:val="both"/>
        <w:rPr>
          <w:sz w:val="28"/>
          <w:szCs w:val="28"/>
        </w:rPr>
      </w:pPr>
      <w:r>
        <w:rPr>
          <w:sz w:val="28"/>
          <w:szCs w:val="28"/>
        </w:rPr>
        <w:t xml:space="preserve">Удельная величина потребления холодной воды в муниципальных бюджетных учреждениях района в 2025 году  не изменилась  по сравнению с 2024 годом и составила 1куб.м. на одного человека населения. </w:t>
      </w:r>
    </w:p>
    <w:p>
      <w:pPr>
        <w:pStyle w:val="Normal"/>
        <w:ind w:firstLine="567"/>
        <w:jc w:val="both"/>
        <w:rPr>
          <w:sz w:val="28"/>
          <w:szCs w:val="28"/>
        </w:rPr>
      </w:pPr>
      <w:r>
        <w:rPr>
          <w:sz w:val="28"/>
          <w:szCs w:val="28"/>
        </w:rPr>
        <w:t xml:space="preserve">Удельная величина потребления природного газа  муниципальными бюджетными учреждениями муниципального округа в 2025 году   составила  3,4 куб.м. на одного человека населения. </w:t>
      </w:r>
    </w:p>
    <w:p>
      <w:pPr>
        <w:pStyle w:val="Normal"/>
        <w:ind w:firstLine="567"/>
        <w:jc w:val="both"/>
        <w:rPr>
          <w:b/>
          <w:sz w:val="28"/>
          <w:szCs w:val="28"/>
        </w:rPr>
      </w:pPr>
      <w:r>
        <w:rPr>
          <w:b/>
          <w:sz w:val="28"/>
          <w:szCs w:val="28"/>
        </w:rPr>
        <w:t xml:space="preserve">Результаты независимой оценки качества условий оказания услуг муниципальными организациями в сферах культуры, охраны здоровья, образования, социального обслуживания и иными организациями, расположенными на территориях соответствующих муниципальных образований и оказывающими услуги в указанных сферах за счет бюджетных </w:t>
      </w:r>
      <w:r>
        <w:rPr>
          <w:b/>
        </w:rPr>
        <w:t>ассигнований</w:t>
      </w:r>
      <w:r>
        <w:rPr>
          <w:b/>
          <w:sz w:val="28"/>
          <w:szCs w:val="28"/>
        </w:rPr>
        <w:t xml:space="preserve"> бюджетов муниципальных образований (по данным официального сайта для размещения информации о государственных и муниципальных учреждениях в информационно-телекоммуникационной сети «Интернет») (при наличии):</w:t>
      </w:r>
    </w:p>
    <w:p>
      <w:pPr>
        <w:pStyle w:val="Normal"/>
        <w:ind w:firstLine="567"/>
        <w:jc w:val="both"/>
        <w:rPr>
          <w:sz w:val="28"/>
          <w:szCs w:val="28"/>
        </w:rPr>
      </w:pPr>
      <w:r>
        <w:rPr>
          <w:sz w:val="28"/>
          <w:szCs w:val="28"/>
        </w:rPr>
        <w:t xml:space="preserve">Независимая оценка качества условий оказания услуг муниципальными организациями в сфере культуры за 2025 год была проведена в муниципальном  бюджетном  учреждении  культуры  </w:t>
      </w:r>
    </w:p>
    <w:p>
      <w:pPr>
        <w:pStyle w:val="Normal"/>
        <w:ind w:firstLine="567"/>
        <w:jc w:val="both"/>
        <w:rPr>
          <w:bCs/>
          <w:sz w:val="28"/>
          <w:szCs w:val="28"/>
        </w:rPr>
      </w:pPr>
      <w:r>
        <w:rPr>
          <w:sz w:val="28"/>
          <w:szCs w:val="28"/>
        </w:rPr>
        <w:t xml:space="preserve">Результат: 2025 года </w:t>
      </w:r>
      <w:r>
        <w:rPr>
          <w:color w:val="000000"/>
          <w:sz w:val="28"/>
          <w:szCs w:val="28"/>
        </w:rPr>
        <w:t>94,68</w:t>
      </w:r>
      <w:r>
        <w:rPr>
          <w:sz w:val="28"/>
          <w:szCs w:val="28"/>
        </w:rPr>
        <w:t xml:space="preserve"> баллов, что в сравнении с результатом 2024 года (</w:t>
      </w:r>
      <w:r>
        <w:rPr>
          <w:i/>
          <w:sz w:val="28"/>
          <w:szCs w:val="28"/>
        </w:rPr>
        <w:t>92,84</w:t>
      </w:r>
      <w:r>
        <w:rPr>
          <w:sz w:val="28"/>
          <w:szCs w:val="28"/>
        </w:rPr>
        <w:t xml:space="preserve">) свидетельствует о росте качества  условий при оказании услуг. На основании отчета о результатах независимой  оценки качества условий оказания услуг </w:t>
      </w:r>
      <w:r>
        <w:rPr>
          <w:bCs/>
          <w:sz w:val="28"/>
          <w:szCs w:val="28"/>
        </w:rPr>
        <w:t>разработан План по устранению недостатков, выявленных в ходе  независимой оценки качества условий оказания услуг на 2026 год. Далее, в периоде до 2028 года прогнозируется рост показателя.</w:t>
      </w:r>
    </w:p>
    <w:p>
      <w:pPr>
        <w:pStyle w:val="Normal"/>
        <w:ind w:firstLine="567"/>
        <w:jc w:val="both"/>
        <w:rPr>
          <w:sz w:val="28"/>
          <w:szCs w:val="28"/>
        </w:rPr>
      </w:pPr>
      <w:r>
        <w:rPr>
          <w:sz w:val="28"/>
          <w:szCs w:val="28"/>
        </w:rPr>
        <w:t>Независимая оценка качества условий оказания услуг муниципальными организациями в сфере образования, расположенными на территории муниципального образования, в 2025 не проводилась, в перспективе показатель планируется в соответствии с тенденциями прошлых лет  на уровне 5 баллов.</w:t>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r>
        <w:br w:type="page"/>
      </w:r>
    </w:p>
    <w:p>
      <w:pPr>
        <w:pStyle w:val="Normal"/>
        <w:widowControl/>
        <w:suppressAutoHyphens w:val="true"/>
        <w:bidi w:val="0"/>
        <w:spacing w:before="0" w:after="0"/>
        <w:ind w:firstLine="737" w:left="0" w:right="0"/>
        <w:jc w:val="both"/>
        <w:rPr>
          <w:b/>
          <w:i/>
          <w:sz w:val="28"/>
          <w:szCs w:val="28"/>
        </w:rPr>
      </w:pPr>
      <w:r>
        <w:rPr>
          <w:b/>
          <w:i/>
          <w:sz w:val="28"/>
          <w:szCs w:val="28"/>
        </w:rPr>
      </w:r>
    </w:p>
    <w:p>
      <w:pPr>
        <w:pStyle w:val="Normal"/>
        <w:ind w:firstLine="720"/>
        <w:jc w:val="both"/>
        <w:rPr>
          <w:b/>
          <w:i/>
          <w:sz w:val="28"/>
          <w:szCs w:val="28"/>
        </w:rPr>
      </w:pPr>
      <w:r>
        <w:rPr>
          <w:b/>
          <w:i/>
          <w:sz w:val="28"/>
          <w:szCs w:val="28"/>
        </w:rPr>
      </w:r>
    </w:p>
    <w:tbl>
      <w:tblPr>
        <w:tblW w:w="10301" w:type="dxa"/>
        <w:jc w:val="left"/>
        <w:tblInd w:w="28" w:type="dxa"/>
        <w:tblLayout w:type="fixed"/>
        <w:tblCellMar>
          <w:top w:w="28" w:type="dxa"/>
          <w:left w:w="28" w:type="dxa"/>
          <w:bottom w:w="28" w:type="dxa"/>
          <w:right w:w="28" w:type="dxa"/>
        </w:tblCellMar>
      </w:tblPr>
      <w:tblGrid>
        <w:gridCol w:w="5313"/>
        <w:gridCol w:w="886"/>
        <w:gridCol w:w="415"/>
        <w:gridCol w:w="579"/>
        <w:gridCol w:w="723"/>
        <w:gridCol w:w="686"/>
        <w:gridCol w:w="668"/>
        <w:gridCol w:w="453"/>
        <w:gridCol w:w="578"/>
      </w:tblGrid>
      <w:tr>
        <w:trPr/>
        <w:tc>
          <w:tcPr>
            <w:tcW w:w="10301" w:type="dxa"/>
            <w:gridSpan w:val="9"/>
            <w:tcBorders>
              <w:top w:val="single" w:sz="6" w:space="0" w:color="808080"/>
              <w:left w:val="single" w:sz="6" w:space="0" w:color="808080"/>
              <w:bottom w:val="single" w:sz="2" w:space="0" w:color="808080"/>
              <w:right w:val="single" w:sz="6" w:space="0" w:color="808080"/>
            </w:tcBorders>
            <w:vAlign w:val="center"/>
          </w:tcPr>
          <w:p>
            <w:pPr>
              <w:pStyle w:val="user4"/>
              <w:rPr>
                <w:b/>
                <w:sz w:val="12"/>
                <w:szCs w:val="12"/>
              </w:rPr>
            </w:pPr>
            <w:r>
              <w:rPr>
                <w:b/>
                <w:sz w:val="12"/>
                <w:szCs w:val="12"/>
              </w:rPr>
              <w:t>МО &lt;Демидовский район&gt; Смоленской области</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sz w:val="12"/>
                <w:szCs w:val="12"/>
              </w:rPr>
            </w:pPr>
            <w:r>
              <w:rPr/>
            </w:r>
          </w:p>
        </w:tc>
      </w:tr>
      <w:tr>
        <w:trPr/>
        <w:tc>
          <w:tcPr>
            <w:tcW w:w="10301" w:type="dxa"/>
            <w:gridSpan w:val="9"/>
            <w:tcBorders>
              <w:left w:val="single" w:sz="6" w:space="0" w:color="808080"/>
              <w:bottom w:val="single" w:sz="2" w:space="0" w:color="808080"/>
              <w:right w:val="single" w:sz="6" w:space="0" w:color="808080"/>
            </w:tcBorders>
            <w:vAlign w:val="center"/>
          </w:tcPr>
          <w:p>
            <w:pPr>
              <w:pStyle w:val="user4"/>
              <w:jc w:val="center"/>
              <w:rPr>
                <w:b/>
                <w:i/>
                <w:sz w:val="12"/>
                <w:szCs w:val="12"/>
              </w:rPr>
            </w:pPr>
            <w:r>
              <w:rPr>
                <w:b/>
                <w:i/>
                <w:sz w:val="12"/>
                <w:szCs w:val="12"/>
              </w:rPr>
              <w:t>АИС ежегодного мониторинга показателей эффективности деятельности ОМС городских округов, муниципальных районов Смоленской области</w:t>
            </w:r>
          </w:p>
        </w:tc>
      </w:tr>
      <w:tr>
        <w:trPr/>
        <w:tc>
          <w:tcPr>
            <w:tcW w:w="5313" w:type="dxa"/>
            <w:tcBorders>
              <w:left w:val="single" w:sz="6" w:space="0" w:color="808080"/>
              <w:bottom w:val="single" w:sz="2" w:space="0" w:color="808080"/>
              <w:right w:val="single" w:sz="6" w:space="0" w:color="808080"/>
            </w:tcBorders>
            <w:vAlign w:val="center"/>
          </w:tcPr>
          <w:p>
            <w:pPr>
              <w:pStyle w:val="user4"/>
              <w:jc w:val="center"/>
              <w:rPr>
                <w:sz w:val="12"/>
                <w:szCs w:val="12"/>
              </w:rPr>
            </w:pPr>
            <w:r>
              <w:rPr>
                <w:sz w:val="12"/>
                <w:szCs w:val="12"/>
              </w:rPr>
              <w:t>Наименование показателей</w:t>
            </w:r>
          </w:p>
        </w:tc>
        <w:tc>
          <w:tcPr>
            <w:tcW w:w="886" w:type="dxa"/>
            <w:tcBorders>
              <w:left w:val="single" w:sz="2" w:space="0" w:color="808080"/>
              <w:bottom w:val="single" w:sz="2" w:space="0" w:color="808080"/>
              <w:right w:val="single" w:sz="6" w:space="0" w:color="808080"/>
            </w:tcBorders>
            <w:vAlign w:val="center"/>
          </w:tcPr>
          <w:p>
            <w:pPr>
              <w:pStyle w:val="user4"/>
              <w:jc w:val="center"/>
              <w:rPr>
                <w:sz w:val="12"/>
                <w:szCs w:val="12"/>
              </w:rPr>
            </w:pPr>
            <w:r>
              <w:rPr>
                <w:sz w:val="12"/>
                <w:szCs w:val="12"/>
              </w:rPr>
              <w:t>Ед. измерения</w:t>
            </w:r>
          </w:p>
        </w:tc>
        <w:tc>
          <w:tcPr>
            <w:tcW w:w="415" w:type="dxa"/>
            <w:tcBorders>
              <w:left w:val="single" w:sz="2" w:space="0" w:color="808080"/>
              <w:bottom w:val="single" w:sz="2" w:space="0" w:color="808080"/>
              <w:right w:val="single" w:sz="6" w:space="0" w:color="808080"/>
            </w:tcBorders>
            <w:vAlign w:val="center"/>
          </w:tcPr>
          <w:p>
            <w:pPr>
              <w:pStyle w:val="user4"/>
              <w:jc w:val="center"/>
              <w:rPr>
                <w:sz w:val="12"/>
                <w:szCs w:val="12"/>
              </w:rPr>
            </w:pPr>
            <w:r>
              <w:rPr>
                <w:sz w:val="12"/>
                <w:szCs w:val="12"/>
              </w:rPr>
              <w:t>Отчет-2022</w:t>
            </w:r>
          </w:p>
        </w:tc>
        <w:tc>
          <w:tcPr>
            <w:tcW w:w="579" w:type="dxa"/>
            <w:tcBorders>
              <w:left w:val="single" w:sz="2" w:space="0" w:color="808080"/>
              <w:bottom w:val="single" w:sz="2" w:space="0" w:color="808080"/>
              <w:right w:val="single" w:sz="6" w:space="0" w:color="808080"/>
            </w:tcBorders>
            <w:vAlign w:val="center"/>
          </w:tcPr>
          <w:p>
            <w:pPr>
              <w:pStyle w:val="user4"/>
              <w:jc w:val="center"/>
              <w:rPr>
                <w:sz w:val="12"/>
                <w:szCs w:val="12"/>
              </w:rPr>
            </w:pPr>
            <w:r>
              <w:rPr>
                <w:sz w:val="12"/>
                <w:szCs w:val="12"/>
              </w:rPr>
              <w:t>Отчет-2023</w:t>
            </w:r>
          </w:p>
        </w:tc>
        <w:tc>
          <w:tcPr>
            <w:tcW w:w="723" w:type="dxa"/>
            <w:tcBorders>
              <w:left w:val="single" w:sz="2" w:space="0" w:color="808080"/>
              <w:bottom w:val="single" w:sz="2" w:space="0" w:color="808080"/>
              <w:right w:val="single" w:sz="6" w:space="0" w:color="808080"/>
            </w:tcBorders>
            <w:vAlign w:val="center"/>
          </w:tcPr>
          <w:p>
            <w:pPr>
              <w:pStyle w:val="user4"/>
              <w:jc w:val="center"/>
              <w:rPr>
                <w:sz w:val="12"/>
                <w:szCs w:val="12"/>
              </w:rPr>
            </w:pPr>
            <w:r>
              <w:rPr>
                <w:sz w:val="12"/>
                <w:szCs w:val="12"/>
              </w:rPr>
              <w:t>Отчет-2024</w:t>
            </w:r>
          </w:p>
        </w:tc>
        <w:tc>
          <w:tcPr>
            <w:tcW w:w="686" w:type="dxa"/>
            <w:tcBorders>
              <w:left w:val="single" w:sz="2" w:space="0" w:color="808080"/>
              <w:bottom w:val="single" w:sz="2" w:space="0" w:color="808080"/>
              <w:right w:val="single" w:sz="6" w:space="0" w:color="808080"/>
            </w:tcBorders>
            <w:vAlign w:val="center"/>
          </w:tcPr>
          <w:p>
            <w:pPr>
              <w:pStyle w:val="user4"/>
              <w:jc w:val="center"/>
              <w:rPr>
                <w:sz w:val="12"/>
                <w:szCs w:val="12"/>
              </w:rPr>
            </w:pPr>
            <w:r>
              <w:rPr>
                <w:sz w:val="12"/>
                <w:szCs w:val="12"/>
              </w:rPr>
              <w:t>Отчет-2025</w:t>
            </w:r>
          </w:p>
        </w:tc>
        <w:tc>
          <w:tcPr>
            <w:tcW w:w="668" w:type="dxa"/>
            <w:tcBorders>
              <w:left w:val="single" w:sz="2" w:space="0" w:color="808080"/>
              <w:bottom w:val="single" w:sz="2" w:space="0" w:color="808080"/>
              <w:right w:val="single" w:sz="6" w:space="0" w:color="808080"/>
            </w:tcBorders>
            <w:vAlign w:val="center"/>
          </w:tcPr>
          <w:p>
            <w:pPr>
              <w:pStyle w:val="user4"/>
              <w:jc w:val="center"/>
              <w:rPr>
                <w:sz w:val="12"/>
                <w:szCs w:val="12"/>
              </w:rPr>
            </w:pPr>
            <w:r>
              <w:rPr>
                <w:sz w:val="12"/>
                <w:szCs w:val="12"/>
              </w:rPr>
              <w:t>План-2026</w:t>
            </w:r>
          </w:p>
        </w:tc>
        <w:tc>
          <w:tcPr>
            <w:tcW w:w="453" w:type="dxa"/>
            <w:tcBorders>
              <w:left w:val="single" w:sz="2" w:space="0" w:color="808080"/>
              <w:bottom w:val="single" w:sz="2" w:space="0" w:color="808080"/>
              <w:right w:val="single" w:sz="6" w:space="0" w:color="808080"/>
            </w:tcBorders>
            <w:vAlign w:val="center"/>
          </w:tcPr>
          <w:p>
            <w:pPr>
              <w:pStyle w:val="user4"/>
              <w:jc w:val="center"/>
              <w:rPr>
                <w:sz w:val="12"/>
                <w:szCs w:val="12"/>
              </w:rPr>
            </w:pPr>
            <w:r>
              <w:rPr>
                <w:sz w:val="12"/>
                <w:szCs w:val="12"/>
              </w:rPr>
              <w:t>План-2027</w:t>
            </w:r>
          </w:p>
        </w:tc>
        <w:tc>
          <w:tcPr>
            <w:tcW w:w="578" w:type="dxa"/>
            <w:tcBorders>
              <w:left w:val="single" w:sz="2" w:space="0" w:color="808080"/>
              <w:bottom w:val="single" w:sz="2" w:space="0" w:color="808080"/>
              <w:right w:val="single" w:sz="6" w:space="0" w:color="808080"/>
            </w:tcBorders>
            <w:vAlign w:val="center"/>
          </w:tcPr>
          <w:p>
            <w:pPr>
              <w:pStyle w:val="user4"/>
              <w:jc w:val="center"/>
              <w:rPr>
                <w:sz w:val="12"/>
                <w:szCs w:val="12"/>
              </w:rPr>
            </w:pPr>
            <w:r>
              <w:rPr>
                <w:sz w:val="12"/>
                <w:szCs w:val="12"/>
              </w:rPr>
              <w:t>План-2028</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b/>
                <w:i/>
                <w:sz w:val="12"/>
                <w:szCs w:val="12"/>
              </w:rPr>
            </w:pPr>
            <w:r>
              <w:rPr>
                <w:b/>
                <w:i/>
                <w:sz w:val="12"/>
                <w:szCs w:val="12"/>
              </w:rPr>
              <w:t>Экономическое развитие</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 Число субъектов малого и среднего предпринимательства в расчете на 10 тыс. человек населения.</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единиц</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268</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272</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283</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305</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320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324</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328</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13.29</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13.3</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13.3</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13.3</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13.3</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13.3</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13.3</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 Объем инвестиций в основной капитал (за исключением бюджетных средств) в расчете на 1 жителя (рублей).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рублей</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9767</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14589</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36768</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19120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13078</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11426</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11455</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4. Доля площади земельных участков, являющихся объектами налогообложения земельным налогом, в общей площади территории городского округа (муниципального района).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41</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41</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41</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41</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41</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41</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41</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5. Доля прибыльных сельскохозяйственных организаций в общем их числе</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6.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94</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54.5</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55.6</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55.6</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54.5</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54.0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53.5</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7. Доля населения, проживающего в населенных пунктах, не имеющих регулярного автобусного и (или) железнодорожного сообщения с административным центром городского округа (муниципального района), в общей численности населения городского округа (муниципального района).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10.5</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10.5</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10.5</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8. Среднемесячная номинальная начисленная заработная плата работников (рублей):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крупных и средних предприятий и некоммерческих организаций;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рублей</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30055.6</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33621.2</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39952.1</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50173.1</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52180.0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53745.4</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55895.2</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муниципальных дошкольных образовательных учреждений;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рублей</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23915.6</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26070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30680.3</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35644.8</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37070.6</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38553.4</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40095.5</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муниципальных общеобразовательных учреждений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рублей</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28524.8</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33433</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39545.4</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47038.1</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48919.6</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50876.3</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52402.6</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учителей муниципальных общеобразовательных учреждений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рублей</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35033.8</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38598</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51385.3</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61027.7</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62126.0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66456.0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70723.0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муниципальных учреждений культуры и искусства;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рублей</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29743.3</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31909</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40835.1</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51261.1</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53311.5</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54700.00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58700.00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муниципальных учреждений физической культуры и спорта.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рублей</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19112.3</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28840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24826.8</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28854.2</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30008.4</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31208.8</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32457.2</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b/>
                <w:i/>
                <w:sz w:val="12"/>
                <w:szCs w:val="12"/>
              </w:rPr>
            </w:pPr>
            <w:r>
              <w:rPr>
                <w:b/>
                <w:i/>
                <w:sz w:val="12"/>
                <w:szCs w:val="12"/>
              </w:rPr>
              <w:t>Дошкольное образование</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9. Доля детей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55</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55</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56</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57</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58</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58</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58</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10.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11. 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33.3</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33.3</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33.3</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33.3</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33.3</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33.3</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33.3</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b/>
                <w:i/>
                <w:sz w:val="12"/>
                <w:szCs w:val="12"/>
              </w:rPr>
            </w:pPr>
            <w:r>
              <w:rPr>
                <w:b/>
                <w:i/>
                <w:sz w:val="12"/>
                <w:szCs w:val="12"/>
              </w:rPr>
              <w:t>Общее и дополнительное образование</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12. Доля выпускников муниципальных общеобразовательных учреждений, сдавших единый государственный экзамен по русскому языку и математике, в общей численности выпускников муниципальных общеобразовательных учреждений сдававших единый государственный экзамен по данным предметам</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13. 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14.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15.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16. Доля детей первой и второй групп здоровья в общей численности обучающихся в муниципальных общеобразовательных учреждениях</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85.7</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85.7</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85.7</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85.7</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85.7</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85.7</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85.7</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17. 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18. Расходы бюджета муниципального образования на общее образование в расчете на 1 обучающегося в муниципальных общеобразовательных учреждениях</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тыс.рублей</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34.18</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38.4</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48.8</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58.4</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59</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59.5</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19. Доля детей в возрасте 5 -18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72.9</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73</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75.99</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75.99</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76.0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76.5</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77</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b/>
                <w:i/>
                <w:sz w:val="12"/>
                <w:szCs w:val="12"/>
              </w:rPr>
            </w:pPr>
            <w:r>
              <w:rPr>
                <w:b/>
                <w:i/>
                <w:sz w:val="12"/>
                <w:szCs w:val="12"/>
              </w:rPr>
              <w:t>Культура</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20. Уровень фактической обеспеченности учреждениями культуры от нормативной потребности:</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клубами и учреждениями клубного типа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библиотеками -"-</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парками культуры и отдыха -"-</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21.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42</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42</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38</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36</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22. 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25</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25</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25</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25</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25</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25</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25</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b/>
                <w:i/>
                <w:sz w:val="12"/>
                <w:szCs w:val="12"/>
              </w:rPr>
            </w:pPr>
            <w:r>
              <w:rPr>
                <w:b/>
                <w:i/>
                <w:sz w:val="12"/>
                <w:szCs w:val="12"/>
              </w:rPr>
              <w:t>Физическая культура и спорт</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23. Доля населения, систематически занимающегося физической культурой и спортом</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17</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17.7</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17.8</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24.4</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59.5</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60.5</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61.5</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23(1). Доля обучающихся, систематически занимающихся физической культурой и спортом, в общей численности обучающихся</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45.6</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51</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52</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55</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85.1</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85.2</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85.3</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b/>
                <w:i/>
                <w:sz w:val="12"/>
                <w:szCs w:val="12"/>
              </w:rPr>
            </w:pPr>
            <w:r>
              <w:rPr>
                <w:b/>
                <w:i/>
                <w:sz w:val="12"/>
                <w:szCs w:val="12"/>
              </w:rPr>
              <w:t>Жилищное строительство и обеспечение граждан жильем</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24. Общая площадь жилых помещений, приходящаяся в среднем на одного жителя, - всего</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кв. метров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37.1</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38.7</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39.7</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в том числе -"- введенная в действие за один год</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кв. метров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0.23</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0.32</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0.32</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25. Площадь земельных участков, предоставленных для строительства в расчете на 10 тыс. человек населения, - всего</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гектаров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2.7</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2.3</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2.4</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2.4</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2.6</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2.8</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2.9</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в том числе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гектаров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2.2</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2.1</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2.2</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2.2</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2.4</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2.6</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2.7</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26. Площадь земельных участков, предоставленных для строительства, в 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(кв. метров):</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объектов жилищного строительства - в течение 3 лет;</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кв. метров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иных объектов капитального строительства - в течение 5 лет.</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кв. метров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b/>
                <w:i/>
                <w:sz w:val="12"/>
                <w:szCs w:val="12"/>
              </w:rPr>
            </w:pPr>
            <w:r>
              <w:rPr>
                <w:b/>
                <w:i/>
                <w:sz w:val="12"/>
                <w:szCs w:val="12"/>
              </w:rPr>
              <w:t>Жилищно-коммунальное хозяйство</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27.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96.9</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28. Доля организаций коммунального комплекса, осуществляющих производство товаров, оказание услуг по водо-, тепло-, газо- и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городского округа (муниципального района)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городского округа (муниципального района).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27.3</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27.3</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33.3</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29. Доля многоквартирных домов, расположенных на земельных участках, в отношении которых осуществлен государственный кадастровый учет.</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30. 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30</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b/>
                <w:i/>
                <w:sz w:val="12"/>
                <w:szCs w:val="12"/>
              </w:rPr>
            </w:pPr>
            <w:r>
              <w:rPr>
                <w:b/>
                <w:i/>
                <w:sz w:val="12"/>
                <w:szCs w:val="12"/>
              </w:rPr>
              <w:t>Организация муниципального управления</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31. 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19.1</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21.2</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20.8</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16</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11</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38.8</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39.8</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32. 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33. Объем не завершенного в установленные сроки строительства, осуществляемого за счет средств бюджета городского округа (муниципального района)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тыс.рублей</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34. 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35. 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рублей</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3218.7</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3830.4</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5230.5</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36. Наличие в городском округе (муниципальном районе) утвержденного генерального плана городского округа (схемы территориального планирования муниципального района)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да/нет</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да</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да</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да</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да</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да</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да</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да</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37. Удовлетворенность населения деятельностью органов местного самоуправления городского округа (муниципального района)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процентов от числа опрошенных</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42.3</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40.1</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59.35</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61</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61.5</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62</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62.5</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38. Среднегодовая численность постоянного населения</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тыс.человек</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10.888</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10.777</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10.597</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b/>
                <w:i/>
                <w:sz w:val="12"/>
                <w:szCs w:val="12"/>
              </w:rPr>
            </w:pPr>
            <w:r>
              <w:rPr>
                <w:b/>
                <w:i/>
                <w:sz w:val="12"/>
                <w:szCs w:val="12"/>
              </w:rPr>
              <w:t>Энергосбережение и повышение энергетической эффективности</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39. Удельная величина потребления энергетических ресурсов (электрическая и тепловая энергия, вода, природный газ) в многоквартирных домах (из расчета на 1 кв. метр общей площади и (или) на одного человека).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электрическая энергия</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кВт/ч на 1 проживающего</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855</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855</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855</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855</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855</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855</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855</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тепловая энергия</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Гкал на 1 кв.общей площади</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0.231</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0.231</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0.231</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0.231</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0.231</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0.231</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0.231</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горячая вода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куб.метров на 1 проживающего</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холодная вода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куб.метров на 1 проживающего</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35.5</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35.5</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35.5</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35.5</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35.5</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35.5</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35.5</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природный газ</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куб.метров на 1 проживающего</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365</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365</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365</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365</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365</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365</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365</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40. Удельная величина потребления энергетических ресурсов (электрическая и тепловая энергия, вода, природный газ) муниципальными бюджетными учреждениями (из расчета на 1 кв. метр общей площади и (или) на одного человека)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электрическая энергия</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кВт/ч на 1 человека населения</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234</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234</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234</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234</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234</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234</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234</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тепловая энергия</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Гкал на 1 кв. метр общей площади</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0.15</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0.15</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0.15</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0.15</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0.15</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0.15</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0.15</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горячая вода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куб.метров на 1 человека населения</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холодная вода</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куб.метров на 1 человека населения</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природный газ</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куб.метров на 1 человека населения</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3.4</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3.4</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3.4</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3.4</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3.4</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3.4</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3.4</w:t>
            </w:r>
          </w:p>
        </w:tc>
      </w:tr>
      <w:tr>
        <w:trPr/>
        <w:tc>
          <w:tcPr>
            <w:tcW w:w="10301" w:type="dxa"/>
            <w:gridSpan w:val="9"/>
            <w:tcBorders>
              <w:left w:val="single" w:sz="6" w:space="0" w:color="808080"/>
              <w:bottom w:val="single" w:sz="2" w:space="0" w:color="808080"/>
              <w:right w:val="single" w:sz="6" w:space="0" w:color="808080"/>
            </w:tcBorders>
            <w:vAlign w:val="center"/>
          </w:tcPr>
          <w:p>
            <w:pPr>
              <w:pStyle w:val="user4"/>
              <w:rPr>
                <w:b/>
                <w:i/>
                <w:sz w:val="12"/>
                <w:szCs w:val="12"/>
              </w:rPr>
            </w:pPr>
            <w:r>
              <w:rPr>
                <w:b/>
                <w:i/>
                <w:sz w:val="12"/>
                <w:szCs w:val="12"/>
              </w:rPr>
              <w:t>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41. Результаты независимой оценки качества условий оказания услуг муниципальными организациями в сферах культуры, охраны здоровья, образования, социального обслуживания и иными организациями,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(по данным официального сайта для размещения информации о государственных и муниципальных учреждениях в информационно-телекоммуникационной сети «Интернет») (при наличии):</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в сфере культуры</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баллы</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94</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94</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92.84</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94.68</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2" w:space="0" w:color="808080"/>
              <w:right w:val="single" w:sz="6" w:space="0" w:color="808080"/>
            </w:tcBorders>
            <w:vAlign w:val="center"/>
          </w:tcPr>
          <w:p>
            <w:pPr>
              <w:pStyle w:val="user4"/>
              <w:rPr>
                <w:sz w:val="12"/>
                <w:szCs w:val="12"/>
              </w:rPr>
            </w:pPr>
            <w:r>
              <w:rPr>
                <w:sz w:val="12"/>
                <w:szCs w:val="12"/>
              </w:rPr>
              <w:t>в сфере образования</w:t>
            </w:r>
          </w:p>
        </w:tc>
        <w:tc>
          <w:tcPr>
            <w:tcW w:w="8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баллы</w:t>
            </w:r>
          </w:p>
        </w:tc>
        <w:tc>
          <w:tcPr>
            <w:tcW w:w="415"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5</w:t>
            </w:r>
          </w:p>
        </w:tc>
        <w:tc>
          <w:tcPr>
            <w:tcW w:w="579"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12</w:t>
            </w:r>
          </w:p>
        </w:tc>
        <w:tc>
          <w:tcPr>
            <w:tcW w:w="72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66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453"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c>
          <w:tcPr>
            <w:tcW w:w="578" w:type="dxa"/>
            <w:tcBorders>
              <w:left w:val="single" w:sz="2" w:space="0" w:color="808080"/>
              <w:bottom w:val="single" w:sz="2" w:space="0" w:color="808080"/>
              <w:right w:val="single" w:sz="6" w:space="0" w:color="808080"/>
            </w:tcBorders>
            <w:vAlign w:val="center"/>
          </w:tcPr>
          <w:p>
            <w:pPr>
              <w:pStyle w:val="user4"/>
              <w:rPr>
                <w:sz w:val="12"/>
                <w:szCs w:val="12"/>
              </w:rPr>
            </w:pPr>
            <w:r>
              <w:rPr>
                <w:sz w:val="12"/>
                <w:szCs w:val="12"/>
              </w:rPr>
              <w:t> </w:t>
            </w:r>
            <w:r>
              <w:rPr>
                <w:sz w:val="12"/>
                <w:szCs w:val="12"/>
              </w:rPr>
              <w:t>-</w:t>
            </w:r>
          </w:p>
        </w:tc>
      </w:tr>
      <w:tr>
        <w:trPr/>
        <w:tc>
          <w:tcPr>
            <w:tcW w:w="5313" w:type="dxa"/>
            <w:tcBorders>
              <w:left w:val="single" w:sz="6" w:space="0" w:color="808080"/>
              <w:bottom w:val="single" w:sz="6" w:space="0" w:color="808080"/>
              <w:right w:val="single" w:sz="6" w:space="0" w:color="808080"/>
            </w:tcBorders>
            <w:vAlign w:val="center"/>
          </w:tcPr>
          <w:p>
            <w:pPr>
              <w:pStyle w:val="user4"/>
              <w:rPr>
                <w:sz w:val="12"/>
                <w:szCs w:val="12"/>
              </w:rPr>
            </w:pPr>
            <w:r>
              <w:rPr>
                <w:sz w:val="12"/>
                <w:szCs w:val="12"/>
              </w:rPr>
              <w:t>в сфере социального обслуживания</w:t>
            </w:r>
          </w:p>
        </w:tc>
        <w:tc>
          <w:tcPr>
            <w:tcW w:w="886" w:type="dxa"/>
            <w:tcBorders>
              <w:left w:val="single" w:sz="2" w:space="0" w:color="808080"/>
              <w:bottom w:val="single" w:sz="6" w:space="0" w:color="808080"/>
              <w:right w:val="single" w:sz="6" w:space="0" w:color="808080"/>
            </w:tcBorders>
            <w:vAlign w:val="center"/>
          </w:tcPr>
          <w:p>
            <w:pPr>
              <w:pStyle w:val="user4"/>
              <w:rPr>
                <w:sz w:val="12"/>
                <w:szCs w:val="12"/>
              </w:rPr>
            </w:pPr>
            <w:r>
              <w:rPr>
                <w:sz w:val="12"/>
                <w:szCs w:val="12"/>
              </w:rPr>
              <w:t>баллы</w:t>
            </w:r>
          </w:p>
        </w:tc>
        <w:tc>
          <w:tcPr>
            <w:tcW w:w="415" w:type="dxa"/>
            <w:tcBorders>
              <w:left w:val="single" w:sz="2" w:space="0" w:color="808080"/>
              <w:bottom w:val="single" w:sz="6"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9" w:type="dxa"/>
            <w:tcBorders>
              <w:left w:val="single" w:sz="2" w:space="0" w:color="808080"/>
              <w:bottom w:val="single" w:sz="6"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723" w:type="dxa"/>
            <w:tcBorders>
              <w:left w:val="single" w:sz="2" w:space="0" w:color="808080"/>
              <w:bottom w:val="single" w:sz="6"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86" w:type="dxa"/>
            <w:tcBorders>
              <w:left w:val="single" w:sz="2" w:space="0" w:color="808080"/>
              <w:bottom w:val="single" w:sz="6"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668" w:type="dxa"/>
            <w:tcBorders>
              <w:left w:val="single" w:sz="2" w:space="0" w:color="808080"/>
              <w:bottom w:val="single" w:sz="6"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453" w:type="dxa"/>
            <w:tcBorders>
              <w:left w:val="single" w:sz="2" w:space="0" w:color="808080"/>
              <w:bottom w:val="single" w:sz="6" w:space="0" w:color="808080"/>
              <w:right w:val="single" w:sz="6" w:space="0" w:color="808080"/>
            </w:tcBorders>
            <w:vAlign w:val="center"/>
          </w:tcPr>
          <w:p>
            <w:pPr>
              <w:pStyle w:val="user4"/>
              <w:rPr>
                <w:sz w:val="12"/>
                <w:szCs w:val="12"/>
              </w:rPr>
            </w:pPr>
            <w:r>
              <w:rPr>
                <w:sz w:val="12"/>
                <w:szCs w:val="12"/>
              </w:rPr>
              <w:t> </w:t>
            </w:r>
            <w:r>
              <w:rPr>
                <w:sz w:val="12"/>
                <w:szCs w:val="12"/>
              </w:rPr>
              <w:t>0</w:t>
            </w:r>
          </w:p>
        </w:tc>
        <w:tc>
          <w:tcPr>
            <w:tcW w:w="578" w:type="dxa"/>
            <w:tcBorders>
              <w:left w:val="single" w:sz="2" w:space="0" w:color="808080"/>
              <w:bottom w:val="single" w:sz="6" w:space="0" w:color="808080"/>
              <w:right w:val="single" w:sz="6" w:space="0" w:color="808080"/>
            </w:tcBorders>
            <w:vAlign w:val="center"/>
          </w:tcPr>
          <w:p>
            <w:pPr>
              <w:pStyle w:val="user4"/>
              <w:rPr>
                <w:sz w:val="12"/>
                <w:szCs w:val="12"/>
              </w:rPr>
            </w:pPr>
            <w:r>
              <w:rPr>
                <w:sz w:val="12"/>
                <w:szCs w:val="12"/>
              </w:rPr>
              <w:t> </w:t>
            </w:r>
            <w:r>
              <w:rPr>
                <w:sz w:val="12"/>
                <w:szCs w:val="12"/>
              </w:rPr>
              <w:t>0</w:t>
            </w:r>
          </w:p>
        </w:tc>
      </w:tr>
    </w:tbl>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p>
      <w:pPr>
        <w:pStyle w:val="Normal"/>
        <w:ind w:firstLine="720"/>
        <w:jc w:val="both"/>
        <w:rPr>
          <w:b/>
          <w:i/>
          <w:sz w:val="28"/>
          <w:szCs w:val="28"/>
        </w:rPr>
      </w:pPr>
      <w:r>
        <w:rPr>
          <w:b/>
          <w:i/>
          <w:sz w:val="28"/>
          <w:szCs w:val="28"/>
        </w:rPr>
      </w:r>
    </w:p>
    <w:sectPr>
      <w:footerReference w:type="even" r:id="rId2"/>
      <w:footerReference w:type="default" r:id="rId3"/>
      <w:footerReference w:type="first" r:id="rId4"/>
      <w:type w:val="nextPage"/>
      <w:pgSz w:w="11906" w:h="16838"/>
      <w:pgMar w:left="1172" w:right="532" w:gutter="0" w:header="0" w:top="1134" w:footer="708"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swiss"/>
    <w:pitch w:val="variable"/>
  </w:font>
  <w:font w:name="OpenSymbol">
    <w:altName w:val="Arial Unicode MS"/>
    <w:charset w:val="cc"/>
    <w:family w:val="roman"/>
    <w:pitch w:val="variable"/>
  </w:font>
  <w:font w:name="Calibri">
    <w:charset w:val="cc"/>
    <w:family w:val="swiss"/>
    <w:pitch w:val="variable"/>
  </w:font>
  <w:font w:name="Arial">
    <w:charset w:val="cc"/>
    <w:family w:val="swiss"/>
    <w:pitch w:val="variable"/>
  </w:font>
  <w:font w:name="Liberation Sans">
    <w:altName w:val="Arial"/>
    <w:charset w:val="cc"/>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27</w:t>
    </w:r>
    <w:r>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27</w:t>
    </w:r>
    <w:r>
      <w:rPr/>
      <w:fldChar w:fldCharType="end"/>
    </w:r>
  </w:p>
  <w:p>
    <w:pPr>
      <w:pStyle w:val="Footer"/>
      <w:rPr/>
    </w:pPr>
    <w:r>
      <w:rPr/>
    </w:r>
  </w:p>
</w:ftr>
</file>

<file path=word/settings.xml><?xml version="1.0" encoding="utf-8"?>
<w:settings xmlns:w="http://schemas.openxmlformats.org/wordprocessingml/2006/main">
  <w:zoom w:percent="83"/>
  <w:displayBackgroundShape/>
  <w:embedSystemFonts/>
  <w:defaultTabStop w:val="708"/>
  <w:autoHyphenation w:val="true"/>
  <w:hyphenationZone w:val="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67df8"/>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Heading1">
    <w:name w:val="heading 1"/>
    <w:basedOn w:val="Normal"/>
    <w:link w:val="12"/>
    <w:uiPriority w:val="99"/>
    <w:qFormat/>
    <w:rsid w:val="00fb5c85"/>
    <w:pPr>
      <w:suppressAutoHyphens w:val="false"/>
      <w:spacing w:beforeAutospacing="1" w:afterAutospacing="1"/>
      <w:outlineLvl w:val="0"/>
    </w:pPr>
    <w:rPr>
      <w:rFonts w:eastAsia="Calibri"/>
      <w:b/>
      <w:bCs/>
      <w:kern w:val="2"/>
      <w:sz w:val="48"/>
      <w:szCs w:val="48"/>
      <w:lang w:eastAsia="ru-RU"/>
    </w:rPr>
  </w:style>
  <w:style w:type="character" w:styleId="DefaultParagraphFont" w:default="1">
    <w:name w:val="Default Paragraph Font"/>
    <w:uiPriority w:val="1"/>
    <w:semiHidden/>
    <w:unhideWhenUsed/>
    <w:qFormat/>
    <w:rPr/>
  </w:style>
  <w:style w:type="character" w:styleId="WW8Num1z0" w:customStyle="1">
    <w:name w:val="WW8Num1z0"/>
    <w:qFormat/>
    <w:rsid w:val="006d292b"/>
    <w:rPr>
      <w:b/>
      <w:sz w:val="28"/>
      <w:szCs w:val="28"/>
    </w:rPr>
  </w:style>
  <w:style w:type="character" w:styleId="WW8Num1z1" w:customStyle="1">
    <w:name w:val="WW8Num1z1"/>
    <w:qFormat/>
    <w:rsid w:val="006d292b"/>
    <w:rPr/>
  </w:style>
  <w:style w:type="character" w:styleId="WW8Num1z2" w:customStyle="1">
    <w:name w:val="WW8Num1z2"/>
    <w:qFormat/>
    <w:rsid w:val="006d292b"/>
    <w:rPr/>
  </w:style>
  <w:style w:type="character" w:styleId="WW8Num1z3" w:customStyle="1">
    <w:name w:val="WW8Num1z3"/>
    <w:qFormat/>
    <w:rsid w:val="006d292b"/>
    <w:rPr/>
  </w:style>
  <w:style w:type="character" w:styleId="WW8Num1z4" w:customStyle="1">
    <w:name w:val="WW8Num1z4"/>
    <w:qFormat/>
    <w:rsid w:val="006d292b"/>
    <w:rPr/>
  </w:style>
  <w:style w:type="character" w:styleId="WW8Num1z5" w:customStyle="1">
    <w:name w:val="WW8Num1z5"/>
    <w:qFormat/>
    <w:rsid w:val="006d292b"/>
    <w:rPr/>
  </w:style>
  <w:style w:type="character" w:styleId="WW8Num1z6" w:customStyle="1">
    <w:name w:val="WW8Num1z6"/>
    <w:qFormat/>
    <w:rsid w:val="006d292b"/>
    <w:rPr/>
  </w:style>
  <w:style w:type="character" w:styleId="WW8Num1z7" w:customStyle="1">
    <w:name w:val="WW8Num1z7"/>
    <w:qFormat/>
    <w:rsid w:val="006d292b"/>
    <w:rPr/>
  </w:style>
  <w:style w:type="character" w:styleId="WW8Num1z8" w:customStyle="1">
    <w:name w:val="WW8Num1z8"/>
    <w:qFormat/>
    <w:rsid w:val="006d292b"/>
    <w:rPr/>
  </w:style>
  <w:style w:type="character" w:styleId="WW8Num2z0" w:customStyle="1">
    <w:name w:val="WW8Num2z0"/>
    <w:qFormat/>
    <w:rsid w:val="006d292b"/>
    <w:rPr>
      <w:rFonts w:ascii="Symbol" w:hAnsi="Symbol" w:cs="Symbol"/>
    </w:rPr>
  </w:style>
  <w:style w:type="character" w:styleId="WW8Num2z1" w:customStyle="1">
    <w:name w:val="WW8Num2z1"/>
    <w:qFormat/>
    <w:rsid w:val="006d292b"/>
    <w:rPr>
      <w:rFonts w:ascii="Courier New" w:hAnsi="Courier New" w:cs="Courier New"/>
    </w:rPr>
  </w:style>
  <w:style w:type="character" w:styleId="WW8Num2z2" w:customStyle="1">
    <w:name w:val="WW8Num2z2"/>
    <w:qFormat/>
    <w:rsid w:val="006d292b"/>
    <w:rPr>
      <w:rFonts w:ascii="Wingdings" w:hAnsi="Wingdings" w:cs="Wingdings"/>
    </w:rPr>
  </w:style>
  <w:style w:type="character" w:styleId="WW8Num3z0" w:customStyle="1">
    <w:name w:val="WW8Num3z0"/>
    <w:qFormat/>
    <w:rsid w:val="006d292b"/>
    <w:rPr/>
  </w:style>
  <w:style w:type="character" w:styleId="WW8Num3z1" w:customStyle="1">
    <w:name w:val="WW8Num3z1"/>
    <w:qFormat/>
    <w:rsid w:val="006d292b"/>
    <w:rPr>
      <w:rFonts w:ascii="Courier New" w:hAnsi="Courier New" w:cs="Courier New"/>
    </w:rPr>
  </w:style>
  <w:style w:type="character" w:styleId="WW8Num3z2" w:customStyle="1">
    <w:name w:val="WW8Num3z2"/>
    <w:qFormat/>
    <w:rsid w:val="006d292b"/>
    <w:rPr>
      <w:rFonts w:ascii="Wingdings" w:hAnsi="Wingdings" w:cs="Wingdings"/>
    </w:rPr>
  </w:style>
  <w:style w:type="character" w:styleId="WW8Num3z3" w:customStyle="1">
    <w:name w:val="WW8Num3z3"/>
    <w:qFormat/>
    <w:rsid w:val="006d292b"/>
    <w:rPr>
      <w:rFonts w:ascii="Symbol" w:hAnsi="Symbol" w:cs="Symbol"/>
    </w:rPr>
  </w:style>
  <w:style w:type="character" w:styleId="4" w:customStyle="1">
    <w:name w:val="Основной шрифт абзаца4"/>
    <w:qFormat/>
    <w:rsid w:val="006d292b"/>
    <w:rPr/>
  </w:style>
  <w:style w:type="character" w:styleId="Style13" w:customStyle="1">
    <w:name w:val="Верхний колонтитул Знак"/>
    <w:basedOn w:val="4"/>
    <w:qFormat/>
    <w:rsid w:val="006d292b"/>
    <w:rPr>
      <w:rFonts w:ascii="Times New Roman" w:hAnsi="Times New Roman" w:eastAsia="Times New Roman" w:cs="Times New Roman"/>
      <w:sz w:val="24"/>
      <w:szCs w:val="24"/>
      <w:lang w:eastAsia="zh-CN"/>
    </w:rPr>
  </w:style>
  <w:style w:type="character" w:styleId="Style14" w:customStyle="1">
    <w:name w:val="Нижний колонтитул Знак"/>
    <w:basedOn w:val="4"/>
    <w:qFormat/>
    <w:rsid w:val="006d292b"/>
    <w:rPr>
      <w:rFonts w:ascii="Times New Roman" w:hAnsi="Times New Roman" w:eastAsia="Times New Roman" w:cs="Times New Roman"/>
      <w:sz w:val="24"/>
      <w:szCs w:val="24"/>
      <w:lang w:eastAsia="zh-CN"/>
    </w:rPr>
  </w:style>
  <w:style w:type="character" w:styleId="Style15" w:customStyle="1">
    <w:name w:val="Основной текст Знак"/>
    <w:basedOn w:val="4"/>
    <w:qFormat/>
    <w:rsid w:val="006d292b"/>
    <w:rPr>
      <w:rFonts w:ascii="Times New Roman" w:hAnsi="Times New Roman" w:eastAsia="Times New Roman" w:cs="Times New Roman"/>
      <w:sz w:val="24"/>
      <w:szCs w:val="24"/>
      <w:lang w:eastAsia="zh-CN"/>
    </w:rPr>
  </w:style>
  <w:style w:type="character" w:styleId="Style16" w:customStyle="1">
    <w:name w:val="Основной текст с отступом Знак"/>
    <w:basedOn w:val="4"/>
    <w:qFormat/>
    <w:rsid w:val="006d292b"/>
    <w:rPr>
      <w:rFonts w:ascii="Times New Roman" w:hAnsi="Times New Roman" w:eastAsia="Times New Roman" w:cs="Times New Roman"/>
      <w:sz w:val="24"/>
      <w:szCs w:val="24"/>
      <w:lang w:eastAsia="zh-CN"/>
    </w:rPr>
  </w:style>
  <w:style w:type="character" w:styleId="1" w:customStyle="1">
    <w:name w:val="Текст выноски Знак1"/>
    <w:basedOn w:val="4"/>
    <w:qFormat/>
    <w:rsid w:val="006d292b"/>
    <w:rPr>
      <w:rFonts w:ascii="Tahoma" w:hAnsi="Tahoma" w:eastAsia="Times New Roman" w:cs="Tahoma"/>
      <w:sz w:val="16"/>
      <w:szCs w:val="16"/>
      <w:lang w:eastAsia="zh-CN"/>
    </w:rPr>
  </w:style>
  <w:style w:type="character" w:styleId="Style17" w:customStyle="1">
    <w:name w:val="Текст выноски Знак"/>
    <w:basedOn w:val="4"/>
    <w:qFormat/>
    <w:rsid w:val="006d292b"/>
    <w:rPr>
      <w:rFonts w:ascii="Tahoma" w:hAnsi="Tahoma" w:eastAsia="Times New Roman" w:cs="Tahoma"/>
      <w:sz w:val="16"/>
      <w:szCs w:val="16"/>
      <w:lang w:eastAsia="zh-CN"/>
    </w:rPr>
  </w:style>
  <w:style w:type="character" w:styleId="WW8Num3z4" w:customStyle="1">
    <w:name w:val="WW8Num3z4"/>
    <w:qFormat/>
    <w:rsid w:val="006d292b"/>
    <w:rPr/>
  </w:style>
  <w:style w:type="character" w:styleId="WW8Num3z5" w:customStyle="1">
    <w:name w:val="WW8Num3z5"/>
    <w:qFormat/>
    <w:rsid w:val="006d292b"/>
    <w:rPr/>
  </w:style>
  <w:style w:type="character" w:styleId="WW8Num3z6" w:customStyle="1">
    <w:name w:val="WW8Num3z6"/>
    <w:qFormat/>
    <w:rsid w:val="006d292b"/>
    <w:rPr/>
  </w:style>
  <w:style w:type="character" w:styleId="WW8Num3z7" w:customStyle="1">
    <w:name w:val="WW8Num3z7"/>
    <w:qFormat/>
    <w:rsid w:val="006d292b"/>
    <w:rPr/>
  </w:style>
  <w:style w:type="character" w:styleId="WW8Num3z8" w:customStyle="1">
    <w:name w:val="WW8Num3z8"/>
    <w:qFormat/>
    <w:rsid w:val="006d292b"/>
    <w:rPr/>
  </w:style>
  <w:style w:type="character" w:styleId="WW8Num4z0" w:customStyle="1">
    <w:name w:val="WW8Num4z0"/>
    <w:qFormat/>
    <w:rsid w:val="006d292b"/>
    <w:rPr>
      <w:rFonts w:ascii="Symbol" w:hAnsi="Symbol" w:eastAsia="Times New Roman" w:cs="Times New Roman"/>
    </w:rPr>
  </w:style>
  <w:style w:type="character" w:styleId="WW8Num4z1" w:customStyle="1">
    <w:name w:val="WW8Num4z1"/>
    <w:qFormat/>
    <w:rsid w:val="006d292b"/>
    <w:rPr>
      <w:rFonts w:ascii="Courier New" w:hAnsi="Courier New" w:cs="Courier New"/>
    </w:rPr>
  </w:style>
  <w:style w:type="character" w:styleId="WW8Num4z2" w:customStyle="1">
    <w:name w:val="WW8Num4z2"/>
    <w:qFormat/>
    <w:rsid w:val="006d292b"/>
    <w:rPr>
      <w:rFonts w:ascii="Wingdings" w:hAnsi="Wingdings" w:cs="Wingdings"/>
    </w:rPr>
  </w:style>
  <w:style w:type="character" w:styleId="WW8Num4z3" w:customStyle="1">
    <w:name w:val="WW8Num4z3"/>
    <w:qFormat/>
    <w:rsid w:val="006d292b"/>
    <w:rPr>
      <w:rFonts w:ascii="Symbol" w:hAnsi="Symbol" w:cs="Symbol"/>
    </w:rPr>
  </w:style>
  <w:style w:type="character" w:styleId="3" w:customStyle="1">
    <w:name w:val="Основной шрифт абзаца3"/>
    <w:qFormat/>
    <w:rsid w:val="006d292b"/>
    <w:rPr/>
  </w:style>
  <w:style w:type="character" w:styleId="2" w:customStyle="1">
    <w:name w:val="Основной шрифт абзаца2"/>
    <w:qFormat/>
    <w:rsid w:val="006d292b"/>
    <w:rPr/>
  </w:style>
  <w:style w:type="character" w:styleId="WW8Num4z4" w:customStyle="1">
    <w:name w:val="WW8Num4z4"/>
    <w:qFormat/>
    <w:rsid w:val="006d292b"/>
    <w:rPr/>
  </w:style>
  <w:style w:type="character" w:styleId="WW8Num4z5" w:customStyle="1">
    <w:name w:val="WW8Num4z5"/>
    <w:qFormat/>
    <w:rsid w:val="006d292b"/>
    <w:rPr/>
  </w:style>
  <w:style w:type="character" w:styleId="WW8Num4z6" w:customStyle="1">
    <w:name w:val="WW8Num4z6"/>
    <w:qFormat/>
    <w:rsid w:val="006d292b"/>
    <w:rPr/>
  </w:style>
  <w:style w:type="character" w:styleId="WW8Num4z7" w:customStyle="1">
    <w:name w:val="WW8Num4z7"/>
    <w:qFormat/>
    <w:rsid w:val="006d292b"/>
    <w:rPr/>
  </w:style>
  <w:style w:type="character" w:styleId="WW8Num4z8" w:customStyle="1">
    <w:name w:val="WW8Num4z8"/>
    <w:qFormat/>
    <w:rsid w:val="006d292b"/>
    <w:rPr/>
  </w:style>
  <w:style w:type="character" w:styleId="WW8Num2z3" w:customStyle="1">
    <w:name w:val="WW8Num2z3"/>
    <w:qFormat/>
    <w:rsid w:val="006d292b"/>
    <w:rPr/>
  </w:style>
  <w:style w:type="character" w:styleId="WW8Num2z4" w:customStyle="1">
    <w:name w:val="WW8Num2z4"/>
    <w:qFormat/>
    <w:rsid w:val="006d292b"/>
    <w:rPr/>
  </w:style>
  <w:style w:type="character" w:styleId="WW8Num2z5" w:customStyle="1">
    <w:name w:val="WW8Num2z5"/>
    <w:qFormat/>
    <w:rsid w:val="006d292b"/>
    <w:rPr/>
  </w:style>
  <w:style w:type="character" w:styleId="WW8Num2z6" w:customStyle="1">
    <w:name w:val="WW8Num2z6"/>
    <w:qFormat/>
    <w:rsid w:val="006d292b"/>
    <w:rPr/>
  </w:style>
  <w:style w:type="character" w:styleId="WW8Num2z7" w:customStyle="1">
    <w:name w:val="WW8Num2z7"/>
    <w:qFormat/>
    <w:rsid w:val="006d292b"/>
    <w:rPr/>
  </w:style>
  <w:style w:type="character" w:styleId="WW8Num2z8" w:customStyle="1">
    <w:name w:val="WW8Num2z8"/>
    <w:qFormat/>
    <w:rsid w:val="006d292b"/>
    <w:rPr/>
  </w:style>
  <w:style w:type="character" w:styleId="WW8Num5z0" w:customStyle="1">
    <w:name w:val="WW8Num5z0"/>
    <w:qFormat/>
    <w:rsid w:val="006d292b"/>
    <w:rPr>
      <w:rFonts w:ascii="Symbol" w:hAnsi="Symbol" w:cs="OpenSymbol"/>
    </w:rPr>
  </w:style>
  <w:style w:type="character" w:styleId="WW8Num5z1" w:customStyle="1">
    <w:name w:val="WW8Num5z1"/>
    <w:qFormat/>
    <w:rsid w:val="006d292b"/>
    <w:rPr/>
  </w:style>
  <w:style w:type="character" w:styleId="WW8Num5z2" w:customStyle="1">
    <w:name w:val="WW8Num5z2"/>
    <w:qFormat/>
    <w:rsid w:val="006d292b"/>
    <w:rPr/>
  </w:style>
  <w:style w:type="character" w:styleId="WW8Num5z3" w:customStyle="1">
    <w:name w:val="WW8Num5z3"/>
    <w:qFormat/>
    <w:rsid w:val="006d292b"/>
    <w:rPr/>
  </w:style>
  <w:style w:type="character" w:styleId="WW8Num5z4" w:customStyle="1">
    <w:name w:val="WW8Num5z4"/>
    <w:qFormat/>
    <w:rsid w:val="006d292b"/>
    <w:rPr/>
  </w:style>
  <w:style w:type="character" w:styleId="WW8Num5z5" w:customStyle="1">
    <w:name w:val="WW8Num5z5"/>
    <w:qFormat/>
    <w:rsid w:val="006d292b"/>
    <w:rPr/>
  </w:style>
  <w:style w:type="character" w:styleId="WW8Num5z6" w:customStyle="1">
    <w:name w:val="WW8Num5z6"/>
    <w:qFormat/>
    <w:rsid w:val="006d292b"/>
    <w:rPr/>
  </w:style>
  <w:style w:type="character" w:styleId="WW8Num5z7" w:customStyle="1">
    <w:name w:val="WW8Num5z7"/>
    <w:qFormat/>
    <w:rsid w:val="006d292b"/>
    <w:rPr/>
  </w:style>
  <w:style w:type="character" w:styleId="WW8Num5z8" w:customStyle="1">
    <w:name w:val="WW8Num5z8"/>
    <w:qFormat/>
    <w:rsid w:val="006d292b"/>
    <w:rPr/>
  </w:style>
  <w:style w:type="character" w:styleId="WW8Num6z0" w:customStyle="1">
    <w:name w:val="WW8Num6z0"/>
    <w:qFormat/>
    <w:rsid w:val="006d292b"/>
    <w:rPr>
      <w:rFonts w:ascii="Symbol" w:hAnsi="Symbol" w:cs="Times New Roman"/>
    </w:rPr>
  </w:style>
  <w:style w:type="character" w:styleId="WW8Num6z1" w:customStyle="1">
    <w:name w:val="WW8Num6z1"/>
    <w:qFormat/>
    <w:rsid w:val="006d292b"/>
    <w:rPr/>
  </w:style>
  <w:style w:type="character" w:styleId="WW8Num6z2" w:customStyle="1">
    <w:name w:val="WW8Num6z2"/>
    <w:qFormat/>
    <w:rsid w:val="006d292b"/>
    <w:rPr/>
  </w:style>
  <w:style w:type="character" w:styleId="WW8Num6z3" w:customStyle="1">
    <w:name w:val="WW8Num6z3"/>
    <w:qFormat/>
    <w:rsid w:val="006d292b"/>
    <w:rPr/>
  </w:style>
  <w:style w:type="character" w:styleId="WW8Num6z4" w:customStyle="1">
    <w:name w:val="WW8Num6z4"/>
    <w:qFormat/>
    <w:rsid w:val="006d292b"/>
    <w:rPr/>
  </w:style>
  <w:style w:type="character" w:styleId="WW8Num6z5" w:customStyle="1">
    <w:name w:val="WW8Num6z5"/>
    <w:qFormat/>
    <w:rsid w:val="006d292b"/>
    <w:rPr/>
  </w:style>
  <w:style w:type="character" w:styleId="WW8Num6z6" w:customStyle="1">
    <w:name w:val="WW8Num6z6"/>
    <w:qFormat/>
    <w:rsid w:val="006d292b"/>
    <w:rPr/>
  </w:style>
  <w:style w:type="character" w:styleId="WW8Num6z7" w:customStyle="1">
    <w:name w:val="WW8Num6z7"/>
    <w:qFormat/>
    <w:rsid w:val="006d292b"/>
    <w:rPr/>
  </w:style>
  <w:style w:type="character" w:styleId="WW8Num6z8" w:customStyle="1">
    <w:name w:val="WW8Num6z8"/>
    <w:qFormat/>
    <w:rsid w:val="006d292b"/>
    <w:rPr/>
  </w:style>
  <w:style w:type="character" w:styleId="11" w:customStyle="1">
    <w:name w:val="Основной шрифт абзаца1"/>
    <w:qFormat/>
    <w:rsid w:val="006d292b"/>
    <w:rPr/>
  </w:style>
  <w:style w:type="character" w:styleId="BodyTextChar" w:customStyle="1">
    <w:name w:val="Body Text Char Знак Знак"/>
    <w:qFormat/>
    <w:rsid w:val="006d292b"/>
    <w:rPr>
      <w:sz w:val="24"/>
      <w:szCs w:val="24"/>
      <w:lang w:val="ru-RU" w:bidi="ar-SA"/>
    </w:rPr>
  </w:style>
  <w:style w:type="character" w:styleId="FontStyle29" w:customStyle="1">
    <w:name w:val="Font Style29"/>
    <w:qFormat/>
    <w:rsid w:val="006d292b"/>
    <w:rPr>
      <w:rFonts w:ascii="Times New Roman" w:hAnsi="Times New Roman" w:cs="Times New Roman"/>
      <w:i/>
      <w:iCs/>
      <w:sz w:val="26"/>
      <w:szCs w:val="26"/>
    </w:rPr>
  </w:style>
  <w:style w:type="character" w:styleId="FontStyle30" w:customStyle="1">
    <w:name w:val="Font Style30"/>
    <w:qFormat/>
    <w:rsid w:val="006d292b"/>
    <w:rPr>
      <w:rFonts w:ascii="Times New Roman" w:hAnsi="Times New Roman" w:cs="Times New Roman"/>
      <w:spacing w:val="10"/>
      <w:sz w:val="24"/>
      <w:szCs w:val="24"/>
    </w:rPr>
  </w:style>
  <w:style w:type="character" w:styleId="FontStyle31" w:customStyle="1">
    <w:name w:val="Font Style31"/>
    <w:qFormat/>
    <w:rsid w:val="006d292b"/>
    <w:rPr>
      <w:rFonts w:ascii="Times New Roman" w:hAnsi="Times New Roman" w:cs="Times New Roman"/>
      <w:sz w:val="26"/>
      <w:szCs w:val="26"/>
    </w:rPr>
  </w:style>
  <w:style w:type="character" w:styleId="Style18" w:customStyle="1">
    <w:name w:val="Маркеры списка"/>
    <w:qFormat/>
    <w:rsid w:val="006d292b"/>
    <w:rPr>
      <w:rFonts w:ascii="OpenSymbol" w:hAnsi="OpenSymbol" w:eastAsia="OpenSymbol" w:cs="OpenSymbol"/>
    </w:rPr>
  </w:style>
  <w:style w:type="character" w:styleId="user" w:customStyle="1">
    <w:name w:val="Символ нумерации (user)"/>
    <w:qFormat/>
    <w:rsid w:val="006d292b"/>
    <w:rPr/>
  </w:style>
  <w:style w:type="character" w:styleId="WW8Num10z0" w:customStyle="1">
    <w:name w:val="WW8Num10z0"/>
    <w:qFormat/>
    <w:rsid w:val="006d292b"/>
    <w:rPr>
      <w:rFonts w:ascii="Symbol" w:hAnsi="Symbol" w:eastAsia="Times New Roman" w:cs="Times New Roman"/>
    </w:rPr>
  </w:style>
  <w:style w:type="character" w:styleId="FontStyle28" w:customStyle="1">
    <w:name w:val="Font Style28"/>
    <w:qFormat/>
    <w:rsid w:val="006d292b"/>
    <w:rPr>
      <w:rFonts w:ascii="Times New Roman" w:hAnsi="Times New Roman" w:cs="Times New Roman"/>
      <w:b/>
      <w:bCs/>
      <w:sz w:val="26"/>
      <w:szCs w:val="26"/>
    </w:rPr>
  </w:style>
  <w:style w:type="character" w:styleId="FontStyle32" w:customStyle="1">
    <w:name w:val="Font Style32"/>
    <w:qFormat/>
    <w:rsid w:val="006d292b"/>
    <w:rPr>
      <w:rFonts w:ascii="Calibri" w:hAnsi="Calibri" w:cs="Calibri"/>
      <w:sz w:val="40"/>
      <w:szCs w:val="40"/>
    </w:rPr>
  </w:style>
  <w:style w:type="character" w:styleId="WW8NumSt1z0" w:customStyle="1">
    <w:name w:val="WW8NumSt1z0"/>
    <w:qFormat/>
    <w:rsid w:val="006d292b"/>
    <w:rPr>
      <w:rFonts w:ascii="Times New Roman" w:hAnsi="Times New Roman" w:cs="Times New Roman"/>
    </w:rPr>
  </w:style>
  <w:style w:type="character" w:styleId="5" w:customStyle="1">
    <w:name w:val="Основной шрифт абзаца5"/>
    <w:qFormat/>
    <w:rsid w:val="006d292b"/>
    <w:rPr/>
  </w:style>
  <w:style w:type="character" w:styleId="FontStyle12" w:customStyle="1">
    <w:name w:val="Font Style12"/>
    <w:qFormat/>
    <w:rsid w:val="006d292b"/>
    <w:rPr>
      <w:rFonts w:ascii="Times New Roman" w:hAnsi="Times New Roman" w:cs="Times New Roman"/>
      <w:sz w:val="24"/>
      <w:szCs w:val="24"/>
    </w:rPr>
  </w:style>
  <w:style w:type="character" w:styleId="WW8Num15z0" w:customStyle="1">
    <w:name w:val="WW8Num15z0"/>
    <w:qFormat/>
    <w:rsid w:val="006d292b"/>
    <w:rPr/>
  </w:style>
  <w:style w:type="character" w:styleId="WW8Num15z1" w:customStyle="1">
    <w:name w:val="WW8Num15z1"/>
    <w:qFormat/>
    <w:rsid w:val="006d292b"/>
    <w:rPr/>
  </w:style>
  <w:style w:type="character" w:styleId="WW8Num15z2" w:customStyle="1">
    <w:name w:val="WW8Num15z2"/>
    <w:qFormat/>
    <w:rsid w:val="006d292b"/>
    <w:rPr/>
  </w:style>
  <w:style w:type="character" w:styleId="WW8Num15z3" w:customStyle="1">
    <w:name w:val="WW8Num15z3"/>
    <w:qFormat/>
    <w:rsid w:val="006d292b"/>
    <w:rPr/>
  </w:style>
  <w:style w:type="character" w:styleId="WW8Num15z4" w:customStyle="1">
    <w:name w:val="WW8Num15z4"/>
    <w:qFormat/>
    <w:rsid w:val="006d292b"/>
    <w:rPr/>
  </w:style>
  <w:style w:type="character" w:styleId="WW8Num15z5" w:customStyle="1">
    <w:name w:val="WW8Num15z5"/>
    <w:qFormat/>
    <w:rsid w:val="006d292b"/>
    <w:rPr/>
  </w:style>
  <w:style w:type="character" w:styleId="WW8Num15z6" w:customStyle="1">
    <w:name w:val="WW8Num15z6"/>
    <w:qFormat/>
    <w:rsid w:val="006d292b"/>
    <w:rPr/>
  </w:style>
  <w:style w:type="character" w:styleId="WW8Num15z7" w:customStyle="1">
    <w:name w:val="WW8Num15z7"/>
    <w:qFormat/>
    <w:rsid w:val="006d292b"/>
    <w:rPr/>
  </w:style>
  <w:style w:type="character" w:styleId="WW8Num15z8" w:customStyle="1">
    <w:name w:val="WW8Num15z8"/>
    <w:qFormat/>
    <w:rsid w:val="006d292b"/>
    <w:rPr/>
  </w:style>
  <w:style w:type="character" w:styleId="WW8Num10z1" w:customStyle="1">
    <w:name w:val="WW8Num10z1"/>
    <w:qFormat/>
    <w:rsid w:val="006d292b"/>
    <w:rPr/>
  </w:style>
  <w:style w:type="character" w:styleId="WW8Num10z2" w:customStyle="1">
    <w:name w:val="WW8Num10z2"/>
    <w:qFormat/>
    <w:rsid w:val="006d292b"/>
    <w:rPr/>
  </w:style>
  <w:style w:type="character" w:styleId="WW8Num10z3" w:customStyle="1">
    <w:name w:val="WW8Num10z3"/>
    <w:qFormat/>
    <w:rsid w:val="006d292b"/>
    <w:rPr/>
  </w:style>
  <w:style w:type="character" w:styleId="WW8Num10z4" w:customStyle="1">
    <w:name w:val="WW8Num10z4"/>
    <w:qFormat/>
    <w:rsid w:val="006d292b"/>
    <w:rPr/>
  </w:style>
  <w:style w:type="character" w:styleId="WW8Num10z5" w:customStyle="1">
    <w:name w:val="WW8Num10z5"/>
    <w:qFormat/>
    <w:rsid w:val="006d292b"/>
    <w:rPr/>
  </w:style>
  <w:style w:type="character" w:styleId="WW8Num10z6" w:customStyle="1">
    <w:name w:val="WW8Num10z6"/>
    <w:qFormat/>
    <w:rsid w:val="006d292b"/>
    <w:rPr/>
  </w:style>
  <w:style w:type="character" w:styleId="WW8Num10z7" w:customStyle="1">
    <w:name w:val="WW8Num10z7"/>
    <w:qFormat/>
    <w:rsid w:val="006d292b"/>
    <w:rPr/>
  </w:style>
  <w:style w:type="character" w:styleId="WW8Num10z8" w:customStyle="1">
    <w:name w:val="WW8Num10z8"/>
    <w:qFormat/>
    <w:rsid w:val="006d292b"/>
    <w:rPr/>
  </w:style>
  <w:style w:type="character" w:styleId="31" w:customStyle="1">
    <w:name w:val="Основной текст с отступом 3 Знак"/>
    <w:basedOn w:val="4"/>
    <w:link w:val="BodyTextIndent3"/>
    <w:uiPriority w:val="99"/>
    <w:qFormat/>
    <w:rsid w:val="006d292b"/>
    <w:rPr>
      <w:rFonts w:ascii="Times New Roman" w:hAnsi="Times New Roman" w:eastAsia="Times New Roman" w:cs="Times New Roman"/>
      <w:sz w:val="16"/>
      <w:szCs w:val="16"/>
    </w:rPr>
  </w:style>
  <w:style w:type="character" w:styleId="Style19" w:customStyle="1">
    <w:name w:val="Без интервала Знак"/>
    <w:uiPriority w:val="1"/>
    <w:qFormat/>
    <w:rsid w:val="006d292b"/>
    <w:rPr>
      <w:rFonts w:ascii="Times New Roman" w:hAnsi="Times New Roman" w:eastAsia="Times New Roman" w:cs="Times New Roman"/>
      <w:sz w:val="24"/>
      <w:szCs w:val="24"/>
      <w:lang w:eastAsia="zh-CN" w:bidi="ar-SA"/>
    </w:rPr>
  </w:style>
  <w:style w:type="character" w:styleId="Emphasis">
    <w:name w:val="Emphasis"/>
    <w:basedOn w:val="4"/>
    <w:uiPriority w:val="20"/>
    <w:qFormat/>
    <w:rsid w:val="006d292b"/>
    <w:rPr>
      <w:i/>
      <w:iCs/>
    </w:rPr>
  </w:style>
  <w:style w:type="character" w:styleId="Hyperlink">
    <w:name w:val="Hyperlink"/>
    <w:basedOn w:val="DefaultParagraphFont"/>
    <w:uiPriority w:val="99"/>
    <w:unhideWhenUsed/>
    <w:rsid w:val="00b00e8a"/>
    <w:rPr>
      <w:color w:val="0000FF"/>
      <w:u w:val="single"/>
    </w:rPr>
  </w:style>
  <w:style w:type="character" w:styleId="311" w:customStyle="1">
    <w:name w:val="Основной текст с отступом 3 Знак1"/>
    <w:basedOn w:val="DefaultParagraphFont"/>
    <w:link w:val="BodyTextIndent3"/>
    <w:uiPriority w:val="99"/>
    <w:semiHidden/>
    <w:qFormat/>
    <w:rsid w:val="00bc2b62"/>
    <w:rPr>
      <w:sz w:val="16"/>
      <w:szCs w:val="16"/>
      <w:lang w:eastAsia="zh-CN"/>
    </w:rPr>
  </w:style>
  <w:style w:type="character" w:styleId="32" w:customStyle="1">
    <w:name w:val="Основной текст 3 Знак"/>
    <w:basedOn w:val="DefaultParagraphFont"/>
    <w:link w:val="BodyText3"/>
    <w:uiPriority w:val="99"/>
    <w:semiHidden/>
    <w:qFormat/>
    <w:rsid w:val="001260f6"/>
    <w:rPr>
      <w:sz w:val="16"/>
      <w:szCs w:val="16"/>
      <w:lang w:eastAsia="zh-CN"/>
    </w:rPr>
  </w:style>
  <w:style w:type="character" w:styleId="FontStyle11" w:customStyle="1">
    <w:name w:val="Font Style11"/>
    <w:basedOn w:val="DefaultParagraphFont"/>
    <w:uiPriority w:val="99"/>
    <w:qFormat/>
    <w:rsid w:val="00bc7366"/>
    <w:rPr>
      <w:rFonts w:ascii="Times New Roman" w:hAnsi="Times New Roman" w:cs="Times New Roman"/>
      <w:b/>
      <w:bCs/>
      <w:spacing w:val="20"/>
      <w:sz w:val="26"/>
      <w:szCs w:val="26"/>
    </w:rPr>
  </w:style>
  <w:style w:type="character" w:styleId="IntenseEmphasis">
    <w:name w:val="Intense Emphasis"/>
    <w:basedOn w:val="DefaultParagraphFont"/>
    <w:uiPriority w:val="21"/>
    <w:qFormat/>
    <w:rsid w:val="002b4895"/>
    <w:rPr>
      <w:b/>
      <w:bCs/>
      <w:i/>
      <w:iCs/>
      <w:color w:val="4F81BD"/>
    </w:rPr>
  </w:style>
  <w:style w:type="character" w:styleId="ConsPlusNormal" w:customStyle="1">
    <w:name w:val="ConsPlusNormal Знак"/>
    <w:link w:val="ConsPlusNormal1"/>
    <w:qFormat/>
    <w:locked/>
    <w:rsid w:val="00700a0e"/>
    <w:rPr>
      <w:rFonts w:ascii="Arial" w:hAnsi="Arial" w:eastAsia="Arial" w:cs="Arial"/>
      <w:lang w:eastAsia="zh-CN" w:bidi="ar-SA"/>
    </w:rPr>
  </w:style>
  <w:style w:type="character" w:styleId="21" w:customStyle="1">
    <w:name w:val="Основной текст с отступом 2 Знак"/>
    <w:basedOn w:val="DefaultParagraphFont"/>
    <w:link w:val="BodyTextIndent2"/>
    <w:uiPriority w:val="99"/>
    <w:semiHidden/>
    <w:qFormat/>
    <w:rsid w:val="00136130"/>
    <w:rPr>
      <w:sz w:val="24"/>
      <w:szCs w:val="24"/>
      <w:lang w:eastAsia="zh-CN"/>
    </w:rPr>
  </w:style>
  <w:style w:type="character" w:styleId="12" w:customStyle="1">
    <w:name w:val="Заголовок 1 Знак"/>
    <w:basedOn w:val="DefaultParagraphFont"/>
    <w:uiPriority w:val="99"/>
    <w:qFormat/>
    <w:rsid w:val="00fb5c85"/>
    <w:rPr>
      <w:rFonts w:eastAsia="Calibri"/>
      <w:b/>
      <w:bCs/>
      <w:kern w:val="2"/>
      <w:sz w:val="48"/>
      <w:szCs w:val="48"/>
    </w:rPr>
  </w:style>
  <w:style w:type="character" w:styleId="c2" w:customStyle="1">
    <w:name w:val="c2"/>
    <w:basedOn w:val="DefaultParagraphFont"/>
    <w:qFormat/>
    <w:rsid w:val="007b575b"/>
    <w:rPr/>
  </w:style>
  <w:style w:type="paragraph" w:styleId="Style20">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6d292b"/>
    <w:pPr>
      <w:spacing w:before="0" w:after="120"/>
    </w:pPr>
    <w:rPr/>
  </w:style>
  <w:style w:type="paragraph" w:styleId="List">
    <w:name w:val="List"/>
    <w:basedOn w:val="BodyText"/>
    <w:rsid w:val="006d292b"/>
    <w:pPr/>
    <w:rPr>
      <w:rFonts w:cs="Mangal"/>
    </w:rPr>
  </w:style>
  <w:style w:type="paragraph" w:styleId="Caption">
    <w:name w:val="caption"/>
    <w:basedOn w:val="Normal"/>
    <w:qFormat/>
    <w:rsid w:val="006d292b"/>
    <w:pPr>
      <w:suppressLineNumbers/>
      <w:spacing w:before="120" w:after="120"/>
    </w:pPr>
    <w:rPr>
      <w:rFonts w:cs="Mangal"/>
      <w:i/>
      <w:iCs/>
    </w:rPr>
  </w:style>
  <w:style w:type="paragraph" w:styleId="Style21">
    <w:name w:val="Указатель"/>
    <w:basedOn w:val="Normal"/>
    <w:qFormat/>
    <w:pPr>
      <w:suppressLineNumbers/>
    </w:pPr>
    <w:rPr>
      <w:rFonts w:cs="Lucida Sans"/>
    </w:rPr>
  </w:style>
  <w:style w:type="paragraph" w:styleId="user1" w:customStyle="1">
    <w:name w:val="Заголовок (user)"/>
    <w:basedOn w:val="Normal"/>
    <w:next w:val="BodyText"/>
    <w:qFormat/>
    <w:rsid w:val="006d292b"/>
    <w:pPr>
      <w:keepNext w:val="true"/>
      <w:spacing w:before="240" w:after="120"/>
    </w:pPr>
    <w:rPr>
      <w:rFonts w:ascii="Liberation Sans" w:hAnsi="Liberation Sans" w:eastAsia="Microsoft YaHei" w:cs="Mangal"/>
      <w:sz w:val="28"/>
      <w:szCs w:val="28"/>
    </w:rPr>
  </w:style>
  <w:style w:type="paragraph" w:styleId="user2">
    <w:name w:val="Указатель (user)"/>
    <w:basedOn w:val="Normal"/>
    <w:qFormat/>
    <w:pPr>
      <w:suppressLineNumbers/>
    </w:pPr>
    <w:rPr>
      <w:rFonts w:cs="Lucida Sans"/>
    </w:rPr>
  </w:style>
  <w:style w:type="paragraph" w:styleId="13" w:customStyle="1">
    <w:name w:val="Указатель1"/>
    <w:basedOn w:val="Normal"/>
    <w:qFormat/>
    <w:rsid w:val="006d292b"/>
    <w:pPr>
      <w:suppressLineNumbers/>
    </w:pPr>
    <w:rPr>
      <w:rFonts w:cs="Mangal"/>
    </w:rPr>
  </w:style>
  <w:style w:type="paragraph" w:styleId="NormalWeb">
    <w:name w:val="Normal (Web)"/>
    <w:basedOn w:val="Normal"/>
    <w:uiPriority w:val="99"/>
    <w:qFormat/>
    <w:rsid w:val="006d292b"/>
    <w:pPr>
      <w:spacing w:before="280" w:after="280"/>
    </w:pPr>
    <w:rPr/>
  </w:style>
  <w:style w:type="paragraph" w:styleId="Style22">
    <w:name w:val="Колонтитулы"/>
    <w:basedOn w:val="Normal"/>
    <w:qFormat/>
    <w:pPr/>
    <w:rPr/>
  </w:style>
  <w:style w:type="paragraph" w:styleId="user3">
    <w:name w:val="Колонтитулы (user)"/>
    <w:basedOn w:val="Normal"/>
    <w:qFormat/>
    <w:pPr/>
    <w:rPr/>
  </w:style>
  <w:style w:type="paragraph" w:styleId="Header">
    <w:name w:val="header"/>
    <w:basedOn w:val="Normal"/>
    <w:rsid w:val="006d292b"/>
    <w:pPr>
      <w:suppressLineNumbers/>
      <w:tabs>
        <w:tab w:val="clear" w:pos="708"/>
        <w:tab w:val="center" w:pos="4677" w:leader="none"/>
        <w:tab w:val="right" w:pos="9355" w:leader="none"/>
      </w:tabs>
    </w:pPr>
    <w:rPr/>
  </w:style>
  <w:style w:type="paragraph" w:styleId="Footer">
    <w:name w:val="footer"/>
    <w:basedOn w:val="Normal"/>
    <w:rsid w:val="006d292b"/>
    <w:pPr>
      <w:suppressLineNumbers/>
      <w:tabs>
        <w:tab w:val="clear" w:pos="708"/>
        <w:tab w:val="center" w:pos="4677" w:leader="none"/>
        <w:tab w:val="right" w:pos="9355" w:leader="none"/>
      </w:tabs>
    </w:pPr>
    <w:rPr/>
  </w:style>
  <w:style w:type="paragraph" w:styleId="BodyTextIndent">
    <w:name w:val="Body Text Indent"/>
    <w:basedOn w:val="Normal"/>
    <w:rsid w:val="006d292b"/>
    <w:pPr>
      <w:spacing w:before="0" w:after="120"/>
      <w:ind w:left="283"/>
    </w:pPr>
    <w:rPr/>
  </w:style>
  <w:style w:type="paragraph" w:styleId="BalloonText">
    <w:name w:val="Balloon Text"/>
    <w:basedOn w:val="Normal"/>
    <w:qFormat/>
    <w:rsid w:val="006d292b"/>
    <w:pPr/>
    <w:rPr>
      <w:rFonts w:ascii="Tahoma" w:hAnsi="Tahoma" w:cs="Tahoma"/>
      <w:sz w:val="16"/>
      <w:szCs w:val="16"/>
    </w:rPr>
  </w:style>
  <w:style w:type="paragraph" w:styleId="14" w:customStyle="1">
    <w:name w:val="Текст1"/>
    <w:basedOn w:val="Normal"/>
    <w:qFormat/>
    <w:rsid w:val="006d292b"/>
    <w:pPr/>
    <w:rPr>
      <w:rFonts w:ascii="Courier New" w:hAnsi="Courier New" w:cs="Courier New"/>
      <w:sz w:val="20"/>
      <w:szCs w:val="20"/>
    </w:rPr>
  </w:style>
  <w:style w:type="paragraph" w:styleId="LO-Normal" w:customStyle="1">
    <w:name w:val="LO-Normal"/>
    <w:qFormat/>
    <w:rsid w:val="006d292b"/>
    <w:pPr>
      <w:widowControl w:val="false"/>
      <w:suppressAutoHyphens w:val="true"/>
      <w:bidi w:val="0"/>
      <w:spacing w:before="0" w:after="0"/>
      <w:jc w:val="left"/>
    </w:pPr>
    <w:rPr>
      <w:rFonts w:ascii="Courier New" w:hAnsi="Courier New" w:eastAsia="Arial" w:cs="Courier New"/>
      <w:color w:val="auto"/>
      <w:kern w:val="0"/>
      <w:sz w:val="20"/>
      <w:szCs w:val="20"/>
      <w:lang w:val="ru-RU" w:eastAsia="zh-CN" w:bidi="ar-SA"/>
    </w:rPr>
  </w:style>
  <w:style w:type="paragraph" w:styleId="Style111" w:customStyle="1">
    <w:name w:val="Style11"/>
    <w:basedOn w:val="Normal"/>
    <w:qFormat/>
    <w:rsid w:val="006d292b"/>
    <w:pPr>
      <w:widowControl w:val="false"/>
      <w:spacing w:lineRule="exact" w:line="323"/>
      <w:ind w:firstLine="698"/>
      <w:jc w:val="both"/>
    </w:pPr>
    <w:rPr/>
  </w:style>
  <w:style w:type="paragraph" w:styleId="15" w:customStyle="1">
    <w:name w:val="Без интервала1"/>
    <w:qFormat/>
    <w:rsid w:val="006d292b"/>
    <w:pPr>
      <w:widowControl/>
      <w:suppressAutoHyphens w:val="true"/>
      <w:bidi w:val="0"/>
      <w:spacing w:lineRule="atLeast" w:line="100" w:before="0" w:after="0"/>
      <w:jc w:val="left"/>
    </w:pPr>
    <w:rPr>
      <w:rFonts w:ascii="Calibri" w:hAnsi="Calibri" w:eastAsia="Calibri" w:cs="Calibri"/>
      <w:color w:val="auto"/>
      <w:kern w:val="0"/>
      <w:sz w:val="24"/>
      <w:szCs w:val="24"/>
      <w:lang w:val="ru-RU" w:eastAsia="zh-CN" w:bidi="hi-IN"/>
    </w:rPr>
  </w:style>
  <w:style w:type="paragraph" w:styleId="ConsPlusNormal1" w:customStyle="1">
    <w:name w:val="ConsPlusNormal"/>
    <w:link w:val="ConsPlusNormal"/>
    <w:qFormat/>
    <w:rsid w:val="006d292b"/>
    <w:pPr>
      <w:widowControl w:val="false"/>
      <w:suppressAutoHyphens w:val="true"/>
      <w:bidi w:val="0"/>
      <w:spacing w:before="0" w:after="0"/>
      <w:ind w:firstLine="720"/>
      <w:jc w:val="left"/>
    </w:pPr>
    <w:rPr>
      <w:rFonts w:ascii="Arial" w:hAnsi="Arial" w:eastAsia="Arial" w:cs="Arial"/>
      <w:color w:val="auto"/>
      <w:kern w:val="0"/>
      <w:sz w:val="20"/>
      <w:szCs w:val="20"/>
      <w:lang w:val="ru-RU" w:eastAsia="zh-CN" w:bidi="ar-SA"/>
    </w:rPr>
  </w:style>
  <w:style w:type="paragraph" w:styleId="312" w:customStyle="1">
    <w:name w:val="Основной текст с отступом 31"/>
    <w:basedOn w:val="Normal"/>
    <w:qFormat/>
    <w:rsid w:val="006d292b"/>
    <w:pPr>
      <w:spacing w:before="0" w:after="120"/>
      <w:ind w:left="283"/>
    </w:pPr>
    <w:rPr>
      <w:sz w:val="16"/>
      <w:szCs w:val="16"/>
    </w:rPr>
  </w:style>
  <w:style w:type="paragraph" w:styleId="NoSpacing">
    <w:name w:val="No Spacing"/>
    <w:uiPriority w:val="1"/>
    <w:qFormat/>
    <w:rsid w:val="006d292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Style41" w:customStyle="1">
    <w:name w:val="Style4"/>
    <w:basedOn w:val="Normal"/>
    <w:uiPriority w:val="99"/>
    <w:qFormat/>
    <w:rsid w:val="006d292b"/>
    <w:pPr>
      <w:widowControl w:val="false"/>
      <w:spacing w:lineRule="exact" w:line="317"/>
      <w:ind w:firstLine="490"/>
    </w:pPr>
    <w:rPr/>
  </w:style>
  <w:style w:type="paragraph" w:styleId="Style51" w:customStyle="1">
    <w:name w:val="Style5"/>
    <w:basedOn w:val="Normal"/>
    <w:qFormat/>
    <w:rsid w:val="006d292b"/>
    <w:pPr>
      <w:widowControl w:val="false"/>
      <w:spacing w:lineRule="exact" w:line="323"/>
      <w:ind w:firstLine="619"/>
    </w:pPr>
    <w:rPr/>
  </w:style>
  <w:style w:type="paragraph" w:styleId="Style61" w:customStyle="1">
    <w:name w:val="Style6"/>
    <w:basedOn w:val="Normal"/>
    <w:qFormat/>
    <w:rsid w:val="006d292b"/>
    <w:pPr>
      <w:widowControl w:val="false"/>
      <w:spacing w:lineRule="exact" w:line="324"/>
    </w:pPr>
    <w:rPr/>
  </w:style>
  <w:style w:type="paragraph" w:styleId="Style71" w:customStyle="1">
    <w:name w:val="Style7"/>
    <w:basedOn w:val="Normal"/>
    <w:uiPriority w:val="99"/>
    <w:qFormat/>
    <w:rsid w:val="006d292b"/>
    <w:pPr>
      <w:widowControl w:val="false"/>
      <w:spacing w:lineRule="exact" w:line="317"/>
      <w:ind w:firstLine="94"/>
      <w:jc w:val="both"/>
    </w:pPr>
    <w:rPr/>
  </w:style>
  <w:style w:type="paragraph" w:styleId="Style81" w:customStyle="1">
    <w:name w:val="Style8"/>
    <w:basedOn w:val="Normal"/>
    <w:qFormat/>
    <w:rsid w:val="006d292b"/>
    <w:pPr>
      <w:widowControl w:val="false"/>
      <w:spacing w:lineRule="exact" w:line="322"/>
      <w:ind w:hanging="166"/>
      <w:jc w:val="both"/>
    </w:pPr>
    <w:rPr/>
  </w:style>
  <w:style w:type="paragraph" w:styleId="Style141" w:customStyle="1">
    <w:name w:val="Style14"/>
    <w:basedOn w:val="Normal"/>
    <w:qFormat/>
    <w:rsid w:val="006d292b"/>
    <w:pPr>
      <w:widowControl w:val="false"/>
      <w:spacing w:lineRule="exact" w:line="324"/>
    </w:pPr>
    <w:rPr/>
  </w:style>
  <w:style w:type="paragraph" w:styleId="Style151" w:customStyle="1">
    <w:name w:val="Style15"/>
    <w:basedOn w:val="Normal"/>
    <w:qFormat/>
    <w:rsid w:val="006d292b"/>
    <w:pPr>
      <w:widowControl w:val="false"/>
      <w:spacing w:lineRule="exact" w:line="323"/>
      <w:ind w:firstLine="403"/>
      <w:jc w:val="both"/>
    </w:pPr>
    <w:rPr/>
  </w:style>
  <w:style w:type="paragraph" w:styleId="Style161" w:customStyle="1">
    <w:name w:val="Style16"/>
    <w:basedOn w:val="Normal"/>
    <w:uiPriority w:val="99"/>
    <w:qFormat/>
    <w:rsid w:val="006d292b"/>
    <w:pPr>
      <w:widowControl w:val="false"/>
      <w:spacing w:lineRule="exact" w:line="324"/>
      <w:ind w:firstLine="706"/>
    </w:pPr>
    <w:rPr/>
  </w:style>
  <w:style w:type="paragraph" w:styleId="Style181" w:customStyle="1">
    <w:name w:val="Style18"/>
    <w:basedOn w:val="Normal"/>
    <w:qFormat/>
    <w:rsid w:val="006d292b"/>
    <w:pPr>
      <w:widowControl w:val="false"/>
      <w:spacing w:lineRule="exact" w:line="485"/>
      <w:ind w:firstLine="691"/>
      <w:jc w:val="both"/>
    </w:pPr>
    <w:rPr/>
  </w:style>
  <w:style w:type="paragraph" w:styleId="Style191" w:customStyle="1">
    <w:name w:val="Style19"/>
    <w:basedOn w:val="Normal"/>
    <w:qFormat/>
    <w:rsid w:val="006d292b"/>
    <w:pPr>
      <w:widowControl w:val="false"/>
      <w:spacing w:lineRule="exact" w:line="475"/>
      <w:ind w:firstLine="439"/>
    </w:pPr>
    <w:rPr/>
  </w:style>
  <w:style w:type="paragraph" w:styleId="Style221" w:customStyle="1">
    <w:name w:val="Style22"/>
    <w:basedOn w:val="Normal"/>
    <w:qFormat/>
    <w:rsid w:val="006d292b"/>
    <w:pPr>
      <w:widowControl w:val="false"/>
      <w:spacing w:lineRule="exact" w:line="482"/>
      <w:ind w:firstLine="806"/>
      <w:jc w:val="both"/>
    </w:pPr>
    <w:rPr/>
  </w:style>
  <w:style w:type="paragraph" w:styleId="Style23" w:customStyle="1">
    <w:name w:val="Style23"/>
    <w:basedOn w:val="Normal"/>
    <w:uiPriority w:val="99"/>
    <w:qFormat/>
    <w:rsid w:val="006d292b"/>
    <w:pPr>
      <w:widowControl w:val="false"/>
    </w:pPr>
    <w:rPr/>
  </w:style>
  <w:style w:type="paragraph" w:styleId="Style24" w:customStyle="1">
    <w:name w:val="Style24"/>
    <w:basedOn w:val="Normal"/>
    <w:uiPriority w:val="99"/>
    <w:qFormat/>
    <w:rsid w:val="006d292b"/>
    <w:pPr>
      <w:widowControl w:val="false"/>
      <w:jc w:val="center"/>
    </w:pPr>
    <w:rPr/>
  </w:style>
  <w:style w:type="paragraph" w:styleId="Style26" w:customStyle="1">
    <w:name w:val="Style26"/>
    <w:basedOn w:val="Normal"/>
    <w:qFormat/>
    <w:rsid w:val="006d292b"/>
    <w:pPr>
      <w:widowControl w:val="false"/>
      <w:spacing w:lineRule="exact" w:line="509"/>
      <w:jc w:val="both"/>
    </w:pPr>
    <w:rPr/>
  </w:style>
  <w:style w:type="paragraph" w:styleId="Default" w:customStyle="1">
    <w:name w:val="Default"/>
    <w:qFormat/>
    <w:rsid w:val="006d292b"/>
    <w:pPr>
      <w:widowControl/>
      <w:suppressAutoHyphens w:val="true"/>
      <w:bidi w:val="0"/>
      <w:spacing w:before="0" w:after="0"/>
      <w:jc w:val="left"/>
    </w:pPr>
    <w:rPr>
      <w:rFonts w:ascii="Times New Roman" w:hAnsi="Times New Roman" w:eastAsia="Times New Roman" w:cs="Times New Roman"/>
      <w:color w:val="000000"/>
      <w:kern w:val="0"/>
      <w:sz w:val="24"/>
      <w:szCs w:val="24"/>
      <w:lang w:val="ru-RU" w:eastAsia="zh-CN" w:bidi="ar-SA"/>
    </w:rPr>
  </w:style>
  <w:style w:type="paragraph" w:styleId="user4" w:customStyle="1">
    <w:name w:val="Содержимое таблицы (user)"/>
    <w:basedOn w:val="Normal"/>
    <w:qFormat/>
    <w:rsid w:val="006d292b"/>
    <w:pPr>
      <w:suppressLineNumbers/>
    </w:pPr>
    <w:rPr/>
  </w:style>
  <w:style w:type="paragraph" w:styleId="user5" w:customStyle="1">
    <w:name w:val="Заголовок таблицы (user)"/>
    <w:basedOn w:val="user4"/>
    <w:qFormat/>
    <w:rsid w:val="006d292b"/>
    <w:pPr>
      <w:jc w:val="center"/>
    </w:pPr>
    <w:rPr>
      <w:b/>
      <w:bCs/>
    </w:rPr>
  </w:style>
  <w:style w:type="paragraph" w:styleId="user6" w:customStyle="1">
    <w:name w:val="Содержимое врезки (user)"/>
    <w:basedOn w:val="Normal"/>
    <w:qFormat/>
    <w:rsid w:val="006d292b"/>
    <w:pPr/>
    <w:rPr/>
  </w:style>
  <w:style w:type="paragraph" w:styleId="western" w:customStyle="1">
    <w:name w:val="western"/>
    <w:basedOn w:val="Normal"/>
    <w:qFormat/>
    <w:rsid w:val="000d2645"/>
    <w:pPr>
      <w:suppressAutoHyphens w:val="false"/>
      <w:spacing w:before="280" w:after="119"/>
    </w:pPr>
    <w:rPr>
      <w:color w:val="000000"/>
    </w:rPr>
  </w:style>
  <w:style w:type="paragraph" w:styleId="BodyTextIndent3">
    <w:name w:val="Body Text Indent 3"/>
    <w:basedOn w:val="Normal"/>
    <w:link w:val="31"/>
    <w:uiPriority w:val="99"/>
    <w:unhideWhenUsed/>
    <w:qFormat/>
    <w:rsid w:val="00bc2b62"/>
    <w:pPr>
      <w:spacing w:before="0" w:after="120"/>
      <w:ind w:left="283"/>
    </w:pPr>
    <w:rPr>
      <w:sz w:val="16"/>
      <w:szCs w:val="16"/>
      <w:lang w:eastAsia="ru-RU"/>
    </w:rPr>
  </w:style>
  <w:style w:type="paragraph" w:styleId="ConsPlusNonformat" w:customStyle="1">
    <w:name w:val="ConsPlusNonformat"/>
    <w:qFormat/>
    <w:rsid w:val="00fa2ae9"/>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BodyText3">
    <w:name w:val="Body Text 3"/>
    <w:basedOn w:val="Normal"/>
    <w:link w:val="32"/>
    <w:uiPriority w:val="99"/>
    <w:semiHidden/>
    <w:unhideWhenUsed/>
    <w:qFormat/>
    <w:rsid w:val="001260f6"/>
    <w:pPr>
      <w:spacing w:before="0" w:after="120"/>
    </w:pPr>
    <w:rPr>
      <w:sz w:val="16"/>
      <w:szCs w:val="16"/>
    </w:rPr>
  </w:style>
  <w:style w:type="paragraph" w:styleId="Style25" w:customStyle="1">
    <w:name w:val="Style2"/>
    <w:basedOn w:val="Normal"/>
    <w:uiPriority w:val="99"/>
    <w:qFormat/>
    <w:rsid w:val="00bc7366"/>
    <w:pPr>
      <w:widowControl w:val="false"/>
      <w:suppressAutoHyphens w:val="false"/>
    </w:pPr>
    <w:rPr>
      <w:lang w:eastAsia="ru-RU"/>
    </w:rPr>
  </w:style>
  <w:style w:type="paragraph" w:styleId="BodyTextIndent2">
    <w:name w:val="Body Text Indent 2"/>
    <w:basedOn w:val="Normal"/>
    <w:link w:val="21"/>
    <w:uiPriority w:val="99"/>
    <w:semiHidden/>
    <w:unhideWhenUsed/>
    <w:qFormat/>
    <w:rsid w:val="00136130"/>
    <w:pPr>
      <w:spacing w:lineRule="auto" w:line="480" w:before="0" w:after="120"/>
      <w:ind w:left="283"/>
    </w:pPr>
    <w:rPr/>
  </w:style>
  <w:style w:type="paragraph" w:styleId="211" w:customStyle="1">
    <w:name w:val="Основной текст с отступом 21"/>
    <w:basedOn w:val="Normal"/>
    <w:uiPriority w:val="99"/>
    <w:qFormat/>
    <w:rsid w:val="002f11a0"/>
    <w:pPr>
      <w:spacing w:lineRule="auto" w:line="480" w:before="0" w:after="120"/>
      <w:ind w:left="283"/>
    </w:pPr>
    <w:rPr>
      <w:lang w:eastAsia="ar-SA"/>
    </w:rPr>
  </w:style>
  <w:style w:type="paragraph" w:styleId="Style27">
    <w:name w:val="Без интервала"/>
    <w:qFormat/>
    <w:pPr>
      <w:widowControl/>
      <w:suppressAutoHyphens w:val="true"/>
      <w:bidi w:val="0"/>
      <w:spacing w:before="0" w:after="0"/>
      <w:jc w:val="left"/>
    </w:pPr>
    <w:rPr>
      <w:rFonts w:ascii="Calibri" w:hAnsi="Calibri" w:eastAsia="Times New Roman" w:cs="Calibri"/>
      <w:color w:val="auto"/>
      <w:kern w:val="0"/>
      <w:sz w:val="22"/>
      <w:szCs w:val="22"/>
      <w:lang w:val="ru-RU" w:eastAsia="ru-RU" w:bidi="ar-SA"/>
    </w:rPr>
  </w:style>
  <w:style w:type="paragraph" w:styleId="Style28">
    <w:name w:val="Содержимое врезки"/>
    <w:basedOn w:val="Normal"/>
    <w:qFormat/>
    <w:pPr/>
    <w:rPr/>
  </w:style>
  <w:style w:type="numbering" w:styleId="Style29" w:default="1">
    <w:name w:val="Без списка"/>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E56B4-0135-46A4-AAB4-B7DEC516C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Application>LibreOffice/25.8.5.2$Windows_X86_64 LibreOffice_project/9c8b85f387cc00a89945a79c9e6239f32e450ac2</Application>
  <AppVersion>15.0000</AppVersion>
  <Pages>27</Pages>
  <Words>8610</Words>
  <Characters>59208</Characters>
  <CharactersWithSpaces>67821</CharactersWithSpaces>
  <Paragraphs>939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2024-05-06T11:29:00Z</dcterms:created>
  <dc:creator>User</dc:creator>
  <dc:description/>
  <dc:language>ru-RU</dc:language>
  <cp:lastModifiedBy/>
  <cp:lastPrinted>2023-06-02T13:54:00Z</cp:lastPrinted>
  <dcterms:modified xsi:type="dcterms:W3CDTF">2026-05-05T14:49:15Z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file>