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УТВЕРЖДЕНА</w:t>
      </w:r>
    </w:p>
    <w:p>
      <w:pPr>
        <w:pStyle w:val="Normal"/>
        <w:jc w:val="right"/>
        <w:rPr/>
      </w:pPr>
      <w:r>
        <w:rPr/>
        <w:t xml:space="preserve">Постановлением Администрации </w:t>
      </w:r>
    </w:p>
    <w:p>
      <w:pPr>
        <w:pStyle w:val="Normal"/>
        <w:jc w:val="right"/>
        <w:rPr/>
      </w:pPr>
      <w:r>
        <w:rPr/>
        <w:t>муниципального образования</w:t>
      </w:r>
    </w:p>
    <w:p>
      <w:pPr>
        <w:pStyle w:val="Normal"/>
        <w:jc w:val="right"/>
        <w:rPr/>
      </w:pPr>
      <w:r>
        <w:rPr/>
        <w:t xml:space="preserve"> </w:t>
      </w:r>
      <w:r>
        <w:rPr/>
        <w:t xml:space="preserve">«Демидовский район» </w:t>
      </w:r>
    </w:p>
    <w:p>
      <w:pPr>
        <w:pStyle w:val="Normal"/>
        <w:jc w:val="right"/>
        <w:rPr/>
      </w:pPr>
      <w:r>
        <w:rPr/>
        <w:t xml:space="preserve">Смоленской области </w:t>
      </w:r>
    </w:p>
    <w:p>
      <w:pPr>
        <w:pStyle w:val="Normal"/>
        <w:jc w:val="right"/>
        <w:rPr>
          <w:u w:val="single"/>
        </w:rPr>
      </w:pPr>
      <w:r>
        <w:rPr/>
        <w:t xml:space="preserve">от </w:t>
      </w:r>
      <w:r>
        <w:rPr>
          <w:u w:val="single"/>
        </w:rPr>
        <w:t>14.10.2015</w:t>
      </w:r>
      <w:r>
        <w:rPr/>
        <w:t xml:space="preserve"> № </w:t>
      </w:r>
      <w:r>
        <w:rPr>
          <w:u w:val="single"/>
        </w:rPr>
        <w:t>517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 xml:space="preserve">(в редакции постановлений 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 xml:space="preserve">от 11.01.2021 №1, от 01.03.2021 № 112, от 07.04.2021 № 211, </w:t>
      </w:r>
    </w:p>
    <w:p>
      <w:pPr>
        <w:pStyle w:val="Normal"/>
        <w:jc w:val="right"/>
        <w:rPr>
          <w:u w:val="single"/>
        </w:rPr>
      </w:pPr>
      <w:r>
        <w:rPr>
          <w:u w:val="single"/>
        </w:rPr>
        <w:t xml:space="preserve">от 27.10.2021 № 600,от 14.04.2022 №230, от 26.01.2023 № 42, </w:t>
      </w:r>
    </w:p>
    <w:p>
      <w:pPr>
        <w:pStyle w:val="Normal"/>
        <w:jc w:val="right"/>
        <w:rPr/>
      </w:pPr>
      <w:r>
        <w:rPr>
          <w:u w:val="single"/>
        </w:rPr>
        <w:t>от 19.10.2023 № 816)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 xml:space="preserve">МУНИЦИПАЛЬНАЯ программа </w:t>
      </w:r>
    </w:p>
    <w:p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муниципального образования «Демидовский район»</w:t>
      </w:r>
    </w:p>
    <w:p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Смоленской области» </w:t>
      </w:r>
    </w:p>
    <w:p>
      <w:pPr>
        <w:pStyle w:val="Normal"/>
        <w:jc w:val="center"/>
        <w:rPr>
          <w:rFonts w:ascii="Times New Roman" w:hAnsi="Times New Roman" w:cs="Times New Roman"/>
          <w:b/>
          <w:caps/>
        </w:rPr>
      </w:pPr>
      <w:r>
        <w:rPr>
          <w:rFonts w:cs="Times New Roman" w:ascii="Times New Roman" w:hAnsi="Times New Roman"/>
          <w:b/>
          <w:caps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/>
        <w:t>г. Демидов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2015 г.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ПАСПОРТ </w:t>
      </w:r>
    </w:p>
    <w:p>
      <w:pPr>
        <w:pStyle w:val="Normal"/>
        <w:jc w:val="center"/>
        <w:rPr>
          <w:b/>
        </w:rPr>
      </w:pPr>
      <w:r>
        <w:rPr>
          <w:b/>
        </w:rPr>
        <w:t>муниципальной программы</w:t>
      </w:r>
    </w:p>
    <w:p>
      <w:pPr>
        <w:pStyle w:val="Normal"/>
        <w:jc w:val="center"/>
        <w:rPr/>
      </w:pPr>
      <w:r>
        <w:rPr/>
      </w:r>
    </w:p>
    <w:tbl>
      <w:tblPr>
        <w:tblW w:w="1036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738"/>
        <w:gridCol w:w="7629"/>
      </w:tblGrid>
      <w:tr>
        <w:trPr/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nformat"/>
              <w:widowControl/>
              <w:ind w:firstLine="27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  <w:tr>
        <w:trPr/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1: 2016-2021 </w:t>
            </w:r>
          </w:p>
          <w:p>
            <w:pPr>
              <w:pStyle w:val="Normal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2: 2022-2025</w:t>
            </w:r>
          </w:p>
        </w:tc>
      </w:tr>
      <w:tr>
        <w:trPr/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 показатели программы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Цель1: Обеспечение доходности и рационального использования земельно - имущественного комплекса и его развитие</w:t>
            </w:r>
          </w:p>
        </w:tc>
      </w:tr>
      <w:tr>
        <w:trPr>
          <w:trHeight w:val="1000" w:hRule="atLeast"/>
        </w:trPr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Региональные проекты, реализуемые в рамках областной государственной программы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муниципальной программы региональные проекты не реализуются.</w:t>
            </w:r>
          </w:p>
        </w:tc>
      </w:tr>
      <w:tr>
        <w:trPr>
          <w:trHeight w:val="272" w:hRule="atLeast"/>
        </w:trPr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Объемы и источники             </w:t>
              <w:br/>
              <w:t xml:space="preserve">финансирования        </w:t>
              <w:br/>
              <w:t xml:space="preserve">Программы             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программы составит </w:t>
            </w:r>
            <w:r>
              <w:rPr>
                <w:b/>
                <w:sz w:val="24"/>
                <w:szCs w:val="24"/>
              </w:rPr>
              <w:t xml:space="preserve">2765,4 тыс.руб. </w:t>
            </w:r>
            <w:r>
              <w:rPr>
                <w:sz w:val="24"/>
                <w:szCs w:val="24"/>
              </w:rPr>
              <w:t xml:space="preserve">в т.ч. за счет средств местного бюджета- </w:t>
            </w:r>
            <w:r>
              <w:rPr>
                <w:b/>
                <w:sz w:val="24"/>
                <w:szCs w:val="24"/>
              </w:rPr>
              <w:t xml:space="preserve">2765,4 тыс.руб. </w:t>
            </w:r>
            <w:r>
              <w:rPr>
                <w:sz w:val="24"/>
                <w:szCs w:val="24"/>
              </w:rPr>
              <w:t>из них: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2016-2021годы -1770,5 тыс. руб.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 год – 277,4,0 тыс. руб.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год  начала реализации муниципальной программы – 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Отчетный финансовый год 2023  (всего</w:t>
            </w:r>
            <w:r>
              <w:rPr>
                <w:rFonts w:cs="Times New Roman" w:ascii="Times New Roman" w:hAnsi="Times New Roman"/>
              </w:rPr>
              <w:t xml:space="preserve">) -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361,0 тыс. руб.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 них: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федерального бюджета -0,00 рублей;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областного бюджета – 0, 00 рублей;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муниципального района – 361,0 тыс. руб.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1-й год планового периода 2024 г (всего) – 0,00 тыс. руб., из них: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федерального бюджета -0,00 рублей;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областного бюджета – 0, 00 рублей;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муниципального района – 0,00 тыс. руб.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2-ой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плановый период 2025 г (всего) – 356,5 тыс. руб., из них: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федерального бюджета -0,00 рублей;</w:t>
            </w:r>
          </w:p>
          <w:p>
            <w:pPr>
              <w:pStyle w:val="ListParagraph"/>
              <w:spacing w:lineRule="auto" w:line="24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средства областного бюджета – 0, 00 рублей;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средства бюджета муниципального района – 356,5 тыс. руб.</w:t>
            </w:r>
          </w:p>
        </w:tc>
      </w:tr>
    </w:tbl>
    <w:p>
      <w:pPr>
        <w:pStyle w:val="Normal"/>
        <w:ind w:firstLine="900"/>
        <w:rPr>
          <w:b/>
        </w:rPr>
      </w:pPr>
      <w:r>
        <w:rPr>
          <w:b/>
        </w:rPr>
      </w:r>
    </w:p>
    <w:p>
      <w:pPr>
        <w:pStyle w:val="Normal"/>
        <w:ind w:left="-567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>1. Содержание проблемы и обоснование необходимости ее решения программно-целевым методом</w:t>
      </w:r>
    </w:p>
    <w:p>
      <w:pPr>
        <w:pStyle w:val="Normal"/>
        <w:ind w:firstLine="900"/>
        <w:jc w:val="center"/>
        <w:rPr/>
      </w:pPr>
      <w:r>
        <w:rPr/>
      </w:r>
    </w:p>
    <w:p>
      <w:pPr>
        <w:pStyle w:val="Normal"/>
        <w:ind w:firstLine="709"/>
        <w:rPr/>
      </w:pPr>
      <w:r>
        <w:rPr/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>
      <w:pPr>
        <w:pStyle w:val="Normal"/>
        <w:ind w:firstLine="709"/>
        <w:rPr/>
      </w:pPr>
      <w:r>
        <w:rPr/>
        <w:t>Одним из основных источников неналоговой части доходов являются доходы от использования и реализации муниципальной собственности, а  объемы этих поступлений в значительной степени зависят от эффективности управления муниципальной собственностью.</w:t>
      </w:r>
    </w:p>
    <w:p>
      <w:pPr>
        <w:pStyle w:val="Normal"/>
        <w:ind w:firstLine="709"/>
        <w:rPr/>
      </w:pPr>
      <w:r>
        <w:rPr/>
        <w:t xml:space="preserve"> </w:t>
      </w:r>
      <w:r>
        <w:rPr/>
        <w:t xml:space="preserve">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>
      <w:pPr>
        <w:pStyle w:val="Normal"/>
        <w:ind w:firstLine="709"/>
        <w:rPr/>
      </w:pPr>
      <w:r>
        <w:rPr/>
        <w:t xml:space="preserve">Динамика поступлений неналоговых платежей в бюджет выглядит следующим образом: </w:t>
      </w:r>
    </w:p>
    <w:p>
      <w:pPr>
        <w:pStyle w:val="Normal"/>
        <w:ind w:firstLine="709" w:left="2123"/>
        <w:jc w:val="right"/>
        <w:rPr/>
      </w:pPr>
      <w:r>
        <w:rPr/>
        <w:t xml:space="preserve">       </w:t>
      </w:r>
      <w:r>
        <w:rPr/>
        <w:t>Таблица 1</w:t>
      </w:r>
    </w:p>
    <w:p>
      <w:pPr>
        <w:pStyle w:val="Normal"/>
        <w:ind w:firstLine="709" w:left="2123"/>
        <w:jc w:val="right"/>
        <w:rPr/>
      </w:pPr>
      <w:r>
        <w:rPr/>
      </w:r>
    </w:p>
    <w:tbl>
      <w:tblPr>
        <w:tblW w:w="10636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46"/>
        <w:gridCol w:w="1418"/>
        <w:gridCol w:w="1556"/>
        <w:gridCol w:w="1375"/>
        <w:gridCol w:w="1441"/>
      </w:tblGrid>
      <w:tr>
        <w:trPr/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>
        <w:trPr/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5502,9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9962,6</w:t>
            </w:r>
          </w:p>
        </w:tc>
      </w:tr>
      <w:tr>
        <w:trPr/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1177,5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1139,2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6832,0</w:t>
            </w:r>
          </w:p>
        </w:tc>
      </w:tr>
      <w:tr>
        <w:trPr/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3855,3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2624,2</w:t>
            </w:r>
          </w:p>
        </w:tc>
      </w:tr>
      <w:tr>
        <w:trPr/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/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508,4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506,4</w:t>
            </w:r>
          </w:p>
        </w:tc>
      </w:tr>
    </w:tbl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>
      <w:pPr>
        <w:pStyle w:val="Normal"/>
        <w:ind w:firstLine="708"/>
        <w:rPr/>
      </w:pPr>
      <w:r>
        <w:rPr/>
        <w:t>Резервами для увеличения неналоговых доходов могут стать следующие мероприятия:</w:t>
      </w:r>
    </w:p>
    <w:p>
      <w:pPr>
        <w:pStyle w:val="Normal"/>
        <w:numPr>
          <w:ilvl w:val="0"/>
          <w:numId w:val="4"/>
        </w:numPr>
        <w:spacing w:lineRule="auto" w:line="240"/>
        <w:ind w:firstLine="708" w:left="0"/>
        <w:rPr>
          <w:b/>
          <w:i/>
          <w:i/>
        </w:rPr>
      </w:pPr>
      <w:r>
        <w:rPr>
          <w:b/>
          <w:i/>
        </w:rPr>
        <w:t>Продажа неиспользуемой муниципальной собственности.</w:t>
      </w:r>
    </w:p>
    <w:p>
      <w:pPr>
        <w:pStyle w:val="Normal"/>
        <w:ind w:firstLine="709"/>
        <w:rPr/>
      </w:pPr>
      <w:r>
        <w:rPr/>
        <w:t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состояния  объектов недвижимости, отсутствие необходимой технической документации на данное имущество.</w:t>
      </w:r>
    </w:p>
    <w:p>
      <w:pPr>
        <w:pStyle w:val="Normal"/>
        <w:numPr>
          <w:ilvl w:val="0"/>
          <w:numId w:val="1"/>
        </w:numPr>
        <w:spacing w:lineRule="auto" w:line="240"/>
        <w:ind w:firstLine="708" w:left="0"/>
        <w:rPr>
          <w:b/>
          <w:i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>
      <w:pPr>
        <w:pStyle w:val="Normal"/>
        <w:ind w:firstLine="709"/>
        <w:rPr/>
      </w:pPr>
      <w:r>
        <w:rPr/>
        <w:t xml:space="preserve">По состоянию на 01.01.2015 в аренде находятся  7 объектов.   </w:t>
      </w:r>
    </w:p>
    <w:p>
      <w:pPr>
        <w:pStyle w:val="Normal"/>
        <w:ind w:firstLine="1068"/>
        <w:rPr/>
      </w:pPr>
      <w:r>
        <w:rPr/>
        <w:t xml:space="preserve">                                                                                                         </w:t>
      </w:r>
      <w:r>
        <w:rPr/>
        <w:t>Таблица 2</w:t>
      </w:r>
    </w:p>
    <w:p>
      <w:pPr>
        <w:pStyle w:val="Normal"/>
        <w:ind w:firstLine="1068"/>
        <w:rPr/>
      </w:pPr>
      <w:r>
        <w:rPr/>
      </w:r>
    </w:p>
    <w:tbl>
      <w:tblPr>
        <w:tblW w:w="10636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56"/>
        <w:gridCol w:w="1440"/>
        <w:gridCol w:w="1374"/>
        <w:gridCol w:w="1505"/>
        <w:gridCol w:w="1261"/>
      </w:tblGrid>
      <w:tr>
        <w:trPr/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>
        <w:trPr/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sz w:val="24"/>
                <w:szCs w:val="24"/>
              </w:rPr>
            </w:pPr>
            <w:r>
              <w:rPr/>
              <w:t xml:space="preserve">Арендуемая площадь недвижимого 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кв. м.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609,95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629,95</w:t>
            </w:r>
          </w:p>
        </w:tc>
      </w:tr>
    </w:tbl>
    <w:p>
      <w:pPr>
        <w:pStyle w:val="Normal"/>
        <w:ind w:firstLine="708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40"/>
        <w:ind w:firstLine="709" w:left="0"/>
        <w:rPr>
          <w:b/>
          <w:i/>
          <w:i/>
          <w:color w:val="000000"/>
        </w:rPr>
      </w:pPr>
      <w:r>
        <w:rPr>
          <w:b/>
          <w:i/>
        </w:rPr>
        <w:t xml:space="preserve">Работа с задолженностью по арендной плате. </w:t>
      </w:r>
    </w:p>
    <w:p>
      <w:pPr>
        <w:pStyle w:val="Normal"/>
        <w:ind w:firstLine="709"/>
        <w:rPr>
          <w:color w:val="000000"/>
        </w:rPr>
      </w:pPr>
      <w:r>
        <w:rPr/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>
      <w:pPr>
        <w:pStyle w:val="Normal"/>
        <w:ind w:firstLine="709"/>
        <w:jc w:val="right"/>
        <w:rPr/>
      </w:pPr>
      <w:r>
        <w:rPr/>
        <w:t>Таблица 3</w:t>
      </w:r>
    </w:p>
    <w:p>
      <w:pPr>
        <w:pStyle w:val="Normal"/>
        <w:ind w:firstLine="709"/>
        <w:jc w:val="right"/>
        <w:rPr/>
      </w:pPr>
      <w:r>
        <w:rPr/>
      </w:r>
    </w:p>
    <w:tbl>
      <w:tblPr>
        <w:tblW w:w="10636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47"/>
        <w:gridCol w:w="2699"/>
        <w:gridCol w:w="1423"/>
        <w:gridCol w:w="1434"/>
        <w:gridCol w:w="1433"/>
      </w:tblGrid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01.01.15</w:t>
            </w:r>
          </w:p>
        </w:tc>
      </w:tr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/>
              <w:t xml:space="preserve">Сумма задолженности по арендной плате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/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</w:tr>
    </w:tbl>
    <w:p>
      <w:pPr>
        <w:pStyle w:val="ListParagrap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1"/>
        </w:numPr>
        <w:spacing w:lineRule="auto" w:line="240"/>
        <w:ind w:firstLine="709" w:left="0"/>
        <w:rPr>
          <w:b/>
          <w:bCs/>
          <w:i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>
      <w:pPr>
        <w:pStyle w:val="Normal"/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>
      <w:pPr>
        <w:pStyle w:val="Normal"/>
        <w:ind w:firstLine="708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"/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>
      <w:pPr>
        <w:pStyle w:val="Normal"/>
        <w:ind w:firstLine="708"/>
        <w:rPr/>
      </w:pPr>
      <w:r>
        <w:rPr>
          <w:bCs/>
          <w:color w:val="000000"/>
        </w:rPr>
        <w:t xml:space="preserve">Таким образом,   </w:t>
      </w:r>
      <w:r>
        <w:rPr/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>
      <w:pPr>
        <w:pStyle w:val="Normal"/>
        <w:ind w:firstLine="709"/>
        <w:rPr>
          <w:bCs/>
          <w:color w:val="000000"/>
        </w:rPr>
      </w:pPr>
      <w:r>
        <w:rPr/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ind w:firstLine="709"/>
        <w:textAlignment w:val="baseline"/>
        <w:rPr/>
      </w:pPr>
      <w:r>
        <w:rPr/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>
      <w:pPr>
        <w:pStyle w:val="Normal"/>
        <w:shd w:val="clear" w:color="auto" w:fill="FFFFFF"/>
        <w:ind w:firstLine="709"/>
        <w:textAlignment w:val="baseline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2. Цели, задачи и целевые показатели Программы.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          </w:t>
      </w:r>
      <w:r>
        <w:rPr/>
        <w:t>2. Цели, задачи и целевые показатели  Программы.</w:t>
      </w:r>
    </w:p>
    <w:p>
      <w:pPr>
        <w:pStyle w:val="Normal"/>
        <w:rPr/>
      </w:pPr>
      <w:r>
        <w:rPr/>
        <w:tab/>
        <w:t>Цель Программы является:</w:t>
      </w:r>
    </w:p>
    <w:p>
      <w:pPr>
        <w:pStyle w:val="Normal"/>
        <w:tabs>
          <w:tab w:val="clear" w:pos="708"/>
          <w:tab w:val="left" w:pos="0" w:leader="none"/>
        </w:tabs>
        <w:ind w:firstLine="709" w:right="140"/>
        <w:rPr/>
      </w:pPr>
      <w:r>
        <w:rPr/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>
        <w:rPr>
          <w:i/>
          <w:iCs/>
          <w:color w:val="FF0000"/>
        </w:rPr>
        <w:t xml:space="preserve">  </w:t>
      </w:r>
      <w:r>
        <w:rPr/>
        <w:t xml:space="preserve">необходимо решить следующие задачи: </w:t>
      </w:r>
    </w:p>
    <w:p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а) повышение эффективности использования муниципального имущества;</w:t>
      </w:r>
    </w:p>
    <w:p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б) администрирование доходов, поступающих от распоряжения муниципальной собственностью;</w:t>
      </w:r>
    </w:p>
    <w:p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в) контроль использования муниципального имущества,</w:t>
      </w:r>
    </w:p>
    <w:p>
      <w:pPr>
        <w:pStyle w:val="ListParagraph"/>
        <w:ind w:left="0"/>
        <w:rPr/>
      </w:pPr>
      <w:r>
        <w:rPr>
          <w:bCs/>
        </w:rPr>
        <w:t xml:space="preserve">         </w:t>
      </w:r>
      <w:r>
        <w:rPr>
          <w:bCs/>
        </w:rPr>
        <w:t>г) обеспечение земельными участками льготных категорий граждан для ИЖС;</w:t>
      </w:r>
    </w:p>
    <w:p>
      <w:pPr>
        <w:pStyle w:val="ListParagraph"/>
        <w:ind w:left="0"/>
        <w:rPr>
          <w:b/>
          <w:bCs/>
        </w:rPr>
      </w:pPr>
      <w:r>
        <w:rPr/>
        <w:t xml:space="preserve">         </w:t>
      </w:r>
      <w:r>
        <w:rPr>
          <w:bCs/>
        </w:rPr>
        <w:t>д) определение рыночной стоимости недвижимого имущества (зданий, строений, земельных участков).</w:t>
      </w:r>
      <w:r>
        <w:rPr>
          <w:b/>
          <w:bCs/>
        </w:rPr>
        <w:t xml:space="preserve">                  </w:t>
      </w:r>
    </w:p>
    <w:p>
      <w:pPr>
        <w:pStyle w:val="Normal"/>
        <w:tabs>
          <w:tab w:val="clear" w:pos="708"/>
          <w:tab w:val="left" w:pos="0" w:leader="none"/>
        </w:tabs>
        <w:ind w:right="-1"/>
        <w:rPr/>
      </w:pPr>
      <w:r>
        <w:rPr/>
        <w:t xml:space="preserve">          </w:t>
      </w:r>
      <w:r>
        <w:rPr/>
        <w:t xml:space="preserve">Реализация мероприятий  программы  к 2025 году позволит обеспечить: </w:t>
      </w:r>
    </w:p>
    <w:p>
      <w:pPr>
        <w:pStyle w:val="ListParagraph"/>
        <w:tabs>
          <w:tab w:val="clear" w:pos="708"/>
          <w:tab w:val="left" w:pos="317" w:leader="none"/>
        </w:tabs>
        <w:ind w:left="33"/>
        <w:rPr>
          <w:iCs/>
        </w:rPr>
      </w:pPr>
      <w:r>
        <w:rPr>
          <w:iCs/>
        </w:rPr>
        <w:t xml:space="preserve">         </w:t>
      </w:r>
      <w:r>
        <w:rPr>
          <w:iCs/>
        </w:rPr>
        <w:t xml:space="preserve">1) обеспечение проведения рыночной оценки объектов недвижимости; </w:t>
      </w:r>
    </w:p>
    <w:p>
      <w:pPr>
        <w:pStyle w:val="ListParagraph"/>
        <w:tabs>
          <w:tab w:val="clear" w:pos="708"/>
          <w:tab w:val="left" w:pos="0" w:leader="none"/>
        </w:tabs>
        <w:ind w:left="33"/>
        <w:rPr/>
      </w:pPr>
      <w:r>
        <w:rPr>
          <w:iCs/>
        </w:rPr>
        <w:t xml:space="preserve">         </w:t>
      </w:r>
      <w:r>
        <w:rPr>
          <w:iCs/>
        </w:rPr>
        <w:t xml:space="preserve">2) </w:t>
      </w:r>
      <w:r>
        <w:rPr/>
        <w:t xml:space="preserve">обеспечение проведения кадастровых работ в отношении 14 земельных участков, находящихся на землях, государственная собственность на которые не разграничена из них: </w:t>
      </w:r>
    </w:p>
    <w:p>
      <w:pPr>
        <w:pStyle w:val="ListParagraph"/>
        <w:tabs>
          <w:tab w:val="clear" w:pos="708"/>
          <w:tab w:val="left" w:pos="317" w:leader="none"/>
        </w:tabs>
        <w:ind w:left="33"/>
        <w:rPr>
          <w:iCs/>
        </w:rPr>
      </w:pPr>
      <w:r>
        <w:rPr/>
        <w:t xml:space="preserve">         </w:t>
      </w:r>
      <w:r>
        <w:rPr/>
        <w:t>а) 14 участков льготным категориям граждан для ИЖС;</w:t>
      </w:r>
      <w:r>
        <w:rPr>
          <w:iCs/>
        </w:rPr>
        <w:t xml:space="preserve"> </w:t>
      </w:r>
    </w:p>
    <w:p>
      <w:pPr>
        <w:pStyle w:val="Normal"/>
        <w:ind w:hanging="1" w:left="1"/>
        <w:rPr/>
      </w:pPr>
      <w:r>
        <w:rPr/>
        <w:t xml:space="preserve">          </w:t>
      </w:r>
      <w:r>
        <w:rPr/>
        <w:t>3) обеспечение оценки рыночной стоимости 5 объектов недвижимого имущества;</w:t>
      </w:r>
    </w:p>
    <w:p>
      <w:pPr>
        <w:pStyle w:val="Normal"/>
        <w:ind w:hanging="1" w:left="1"/>
        <w:rPr/>
      </w:pPr>
      <w:r>
        <w:rPr/>
        <w:t xml:space="preserve">           </w:t>
      </w:r>
      <w:r>
        <w:rPr/>
        <w:t>4) обеспечение оценки рыночной стоимости годового размера арендной платы  4 объектов недвижимого имущества;</w:t>
      </w:r>
    </w:p>
    <w:p>
      <w:pPr>
        <w:pStyle w:val="Normal"/>
        <w:rPr/>
      </w:pPr>
      <w:r>
        <w:rPr/>
        <w:t xml:space="preserve">            </w:t>
      </w:r>
      <w:r>
        <w:rPr/>
        <w:t>5) повышение уровня собираемости доходов от арендной платы на конец отчетного года до  90%;</w:t>
      </w:r>
    </w:p>
    <w:p>
      <w:pPr>
        <w:pStyle w:val="ListParagraph"/>
        <w:tabs>
          <w:tab w:val="clear" w:pos="708"/>
          <w:tab w:val="left" w:pos="317" w:leader="none"/>
        </w:tabs>
        <w:ind w:left="33"/>
        <w:rPr/>
      </w:pPr>
      <w:r>
        <w:rPr/>
        <w:t xml:space="preserve">           </w:t>
      </w:r>
      <w:r>
        <w:rPr/>
        <w:t>6) увеличение процента реализация земельных участков на торгах до 100%;</w:t>
      </w:r>
    </w:p>
    <w:p>
      <w:pPr>
        <w:pStyle w:val="ListParagraph"/>
        <w:tabs>
          <w:tab w:val="clear" w:pos="708"/>
          <w:tab w:val="left" w:pos="0" w:leader="none"/>
        </w:tabs>
        <w:ind w:firstLine="709" w:left="0" w:right="-1"/>
        <w:rPr>
          <w:color w:val="FF0000"/>
        </w:rPr>
      </w:pPr>
      <w:r>
        <w:rPr/>
        <w:t xml:space="preserve">  </w:t>
      </w:r>
      <w:r>
        <w:rPr/>
        <w:t>Срок реализации  муниципальной  программы:  2016 - 2025 годы.</w:t>
      </w:r>
    </w:p>
    <w:p>
      <w:pPr>
        <w:pStyle w:val="Normal"/>
        <w:ind w:firstLine="708"/>
        <w:rPr/>
      </w:pPr>
      <w:r>
        <w:rPr/>
        <w:t xml:space="preserve">  </w:t>
      </w:r>
      <w:r>
        <w:rPr/>
        <w:t>В ходе реализации Программы ожидается достижение следующих целевых показателей, приведенных в таблице:</w:t>
      </w:r>
    </w:p>
    <w:tbl>
      <w:tblPr>
        <w:tblpPr w:vertAnchor="text" w:horzAnchor="margin" w:leftFromText="180" w:rightFromText="180" w:tblpX="6" w:tblpY="155"/>
        <w:tblW w:w="49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8"/>
        <w:gridCol w:w="3616"/>
        <w:gridCol w:w="2070"/>
        <w:gridCol w:w="1321"/>
        <w:gridCol w:w="1320"/>
        <w:gridCol w:w="1216"/>
      </w:tblGrid>
      <w:tr>
        <w:trPr/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>
        <w:trPr/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Поступление неналоговых доходов местного бюджета, из них: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2437,4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5183,2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2551,9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2976,6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343,4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арендная плата за земельные участки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1483,2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1443,9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муниципального имущества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224,7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арендная плата за пользование муниципальным имуществом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539,9</w:t>
            </w:r>
          </w:p>
        </w:tc>
      </w:tr>
    </w:tbl>
    <w:p>
      <w:pPr>
        <w:pStyle w:val="Normal"/>
        <w:ind w:firstLine="900"/>
        <w:jc w:val="center"/>
        <w:rPr>
          <w:b/>
        </w:rPr>
      </w:pPr>
      <w:r>
        <w:rPr>
          <w:b/>
        </w:rPr>
      </w:r>
    </w:p>
    <w:tbl>
      <w:tblPr>
        <w:tblStyle w:val="a6"/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4"/>
        <w:gridCol w:w="1614"/>
        <w:gridCol w:w="751"/>
        <w:gridCol w:w="752"/>
        <w:gridCol w:w="751"/>
        <w:gridCol w:w="1710"/>
        <w:gridCol w:w="1255"/>
        <w:gridCol w:w="1073"/>
        <w:gridCol w:w="1073"/>
        <w:gridCol w:w="751"/>
      </w:tblGrid>
      <w:tr>
        <w:trPr>
          <w:trHeight w:val="1620" w:hRule="atLeast"/>
        </w:trPr>
        <w:tc>
          <w:tcPr>
            <w:tcW w:w="47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161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Наименование показателя, единица измерения</w:t>
            </w:r>
          </w:p>
        </w:tc>
        <w:tc>
          <w:tcPr>
            <w:tcW w:w="75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2019</w:t>
            </w:r>
          </w:p>
        </w:tc>
        <w:tc>
          <w:tcPr>
            <w:tcW w:w="75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2020</w:t>
            </w:r>
          </w:p>
        </w:tc>
        <w:tc>
          <w:tcPr>
            <w:tcW w:w="75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2021</w:t>
            </w:r>
          </w:p>
        </w:tc>
        <w:tc>
          <w:tcPr>
            <w:tcW w:w="171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Базовое значение показателя (в году, предшествующем очередному финансовому году) (2022 г) тыс. руб.</w:t>
            </w:r>
          </w:p>
        </w:tc>
        <w:tc>
          <w:tcPr>
            <w:tcW w:w="3401" w:type="dxa"/>
            <w:gridSpan w:val="3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Планируемое значение показателя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5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2026</w:t>
            </w:r>
          </w:p>
        </w:tc>
      </w:tr>
      <w:tr>
        <w:trPr>
          <w:trHeight w:val="1260" w:hRule="atLeast"/>
        </w:trPr>
        <w:tc>
          <w:tcPr>
            <w:tcW w:w="47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6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5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5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5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1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255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Очередной финансовый год (2023 г) тыс. руб</w:t>
            </w:r>
          </w:p>
        </w:tc>
        <w:tc>
          <w:tcPr>
            <w:tcW w:w="1073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1-й год планового периода (2024 г) тыс. руб.</w:t>
            </w:r>
          </w:p>
        </w:tc>
        <w:tc>
          <w:tcPr>
            <w:tcW w:w="1073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2-й год планового периода тыс. руб. (2025)</w:t>
            </w:r>
          </w:p>
        </w:tc>
        <w:tc>
          <w:tcPr>
            <w:tcW w:w="75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474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1614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Поступление неналоговых доходов в бюджет муниципального образования «Демидовский район» Смоленской области</w:t>
            </w:r>
          </w:p>
        </w:tc>
        <w:tc>
          <w:tcPr>
            <w:tcW w:w="751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2523,0</w:t>
            </w:r>
          </w:p>
        </w:tc>
        <w:tc>
          <w:tcPr>
            <w:tcW w:w="752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2093,3</w:t>
            </w:r>
          </w:p>
        </w:tc>
        <w:tc>
          <w:tcPr>
            <w:tcW w:w="751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2000,5</w:t>
            </w:r>
          </w:p>
        </w:tc>
        <w:tc>
          <w:tcPr>
            <w:tcW w:w="1710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3487,1</w:t>
            </w:r>
          </w:p>
        </w:tc>
        <w:tc>
          <w:tcPr>
            <w:tcW w:w="1255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2301,8</w:t>
            </w:r>
          </w:p>
        </w:tc>
        <w:tc>
          <w:tcPr>
            <w:tcW w:w="1073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2301,8</w:t>
            </w:r>
          </w:p>
        </w:tc>
        <w:tc>
          <w:tcPr>
            <w:tcW w:w="1073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2301,8</w:t>
            </w:r>
          </w:p>
        </w:tc>
        <w:tc>
          <w:tcPr>
            <w:tcW w:w="751" w:type="dxa"/>
            <w:tcBorders/>
          </w:tcPr>
          <w:p>
            <w:pPr>
              <w:pStyle w:val="Normal"/>
              <w:widowControl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2301,8</w:t>
            </w:r>
          </w:p>
        </w:tc>
      </w:tr>
    </w:tbl>
    <w:p>
      <w:pPr>
        <w:pStyle w:val="Normal"/>
        <w:ind w:firstLine="900"/>
        <w:jc w:val="center"/>
        <w:rPr>
          <w:b/>
        </w:rPr>
      </w:pPr>
      <w:r>
        <w:rPr>
          <w:b/>
        </w:rPr>
      </w:r>
    </w:p>
    <w:p>
      <w:pPr>
        <w:pStyle w:val="Normal"/>
        <w:ind w:firstLine="900"/>
        <w:jc w:val="center"/>
        <w:rPr>
          <w:b/>
        </w:rPr>
      </w:pPr>
      <w:r>
        <w:rPr>
          <w:b/>
        </w:rPr>
      </w:r>
    </w:p>
    <w:p>
      <w:pPr>
        <w:pStyle w:val="Normal"/>
        <w:ind w:firstLine="900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>3. Перечень программных мероприятий</w:t>
      </w:r>
    </w:p>
    <w:p>
      <w:pPr>
        <w:pStyle w:val="Normal"/>
        <w:ind w:firstLine="90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40"/>
        <w:rPr/>
      </w:pPr>
      <w:r>
        <w:rPr/>
        <w:t xml:space="preserve">    </w:t>
      </w:r>
      <w:r>
        <w:rPr/>
        <w:t>Актуализация существующей базы нормативных правовых актов в сфере управления муниципальной собственностью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</w:t>
      </w:r>
      <w:r>
        <w:rPr/>
        <w:t>Разработка и утверждение прогнозного плана приватизации муниципального имущества (срок реализации – ежегодно в декабре)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</w:t>
      </w:r>
      <w:r>
        <w:rPr/>
        <w:t>Отчет о выполнении прогнозного плана приватизации (срок реализации – ежегодно в марте)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</w:t>
      </w:r>
      <w:r>
        <w:rPr/>
        <w:t>Ведение реестра муниципальной собственности и поддержание его в актуальном состоянии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</w:t>
      </w:r>
      <w:r>
        <w:rPr/>
        <w:t>Прием в муниципальную собственность имущества, переданного из государственной и федеральной собственности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</w:t>
      </w:r>
      <w:r>
        <w:rPr/>
        <w:t>Обслуживание и техническое сопровождение программно-технического комплекса по ведению базы данных по муниципальному имуществу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 </w:t>
      </w:r>
      <w:r>
        <w:rPr/>
        <w:t>Проведение оценки муниципального имущества с целью его продажи или предоставления в аренду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 </w:t>
      </w:r>
      <w:r>
        <w:rPr/>
        <w:t>Организация работы по межеванию земельных участков, обеспечению постановки их на кадастровый учет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</w:t>
      </w:r>
      <w:r>
        <w:rPr/>
        <w:t>Организация и проведение торгов по продаже объектов, находящихся в муниципальной собственности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</w:t>
      </w:r>
      <w:r>
        <w:rPr/>
        <w:t>Организация и проведение торгов по предоставлению объектов, находящихся в муниципальной собственности, в аренду (срок реализации - 2016-2025 гг.)</w:t>
      </w:r>
    </w:p>
    <w:p>
      <w:pPr>
        <w:pStyle w:val="Normal"/>
        <w:tabs>
          <w:tab w:val="clear" w:pos="708"/>
          <w:tab w:val="left" w:pos="709" w:leader="none"/>
        </w:tabs>
        <w:spacing w:lineRule="auto" w:line="240"/>
        <w:rPr/>
      </w:pPr>
      <w:r>
        <w:rPr/>
        <w:t xml:space="preserve">     </w:t>
      </w:r>
      <w:r>
        <w:rPr/>
        <w:t>Учет и контроль поступлений неналоговых платежей (срок реализации - 2016-2025 гг.)</w:t>
      </w:r>
    </w:p>
    <w:p>
      <w:pPr>
        <w:pStyle w:val="Normal"/>
        <w:spacing w:lineRule="auto" w:line="240"/>
        <w:rPr/>
      </w:pPr>
      <w:r>
        <w:rPr/>
        <w:t xml:space="preserve">     </w:t>
      </w:r>
      <w:r>
        <w:rPr/>
        <w:t>Проведение предупредительной и исковой работы с недобросовестными арендаторами (срок реализации - 2016-2025 гг.)</w:t>
      </w:r>
    </w:p>
    <w:p>
      <w:pPr>
        <w:pStyle w:val="Normal"/>
        <w:spacing w:lineRule="auto" w:line="240"/>
        <w:rPr/>
      </w:pPr>
      <w:r>
        <w:rPr/>
        <w:t xml:space="preserve">       </w:t>
      </w:r>
      <w:r>
        <w:rPr/>
        <w:t xml:space="preserve">Проведение контроля за целевым использованием  муниципального имущества (срок реализации - 2016-2025 гг.) </w:t>
      </w:r>
    </w:p>
    <w:p>
      <w:pPr>
        <w:pStyle w:val="Normal"/>
        <w:rPr/>
      </w:pPr>
      <w:r>
        <w:rPr/>
        <w:t xml:space="preserve">       </w:t>
      </w:r>
      <w:r>
        <w:rPr/>
        <w:t xml:space="preserve">«Разработка схемы размещения рекламных конструкций на территории муниципального образования «Демидовский район» Смоленской области (2016; 2021 гг)».              </w:t>
      </w:r>
    </w:p>
    <w:p>
      <w:pPr>
        <w:pStyle w:val="Normal"/>
        <w:tabs>
          <w:tab w:val="clear" w:pos="708"/>
          <w:tab w:val="left" w:pos="709" w:leader="none"/>
        </w:tabs>
        <w:ind w:firstLine="709"/>
        <w:rPr>
          <w:b/>
          <w:bCs/>
        </w:rPr>
      </w:pPr>
      <w:r>
        <w:rPr/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>
      <w:pPr>
        <w:pStyle w:val="Normal"/>
        <w:rPr/>
      </w:pPr>
      <w:r>
        <w:rPr/>
        <w:t xml:space="preserve">          </w:t>
      </w:r>
      <w:r>
        <w:rPr/>
        <w:t xml:space="preserve">Общий объем финансирования программы составит </w:t>
      </w:r>
      <w:r>
        <w:rPr>
          <w:b/>
        </w:rPr>
        <w:t xml:space="preserve">2765,4 тыс. руб. </w:t>
      </w:r>
      <w:r>
        <w:rPr/>
        <w:t xml:space="preserve">в т.ч. за счет средств местного бюджета- </w:t>
      </w:r>
      <w:r>
        <w:rPr>
          <w:b/>
        </w:rPr>
        <w:t xml:space="preserve">2765,4 тыс.руб. </w:t>
      </w:r>
      <w:r>
        <w:rPr/>
        <w:t>из них:</w:t>
      </w:r>
    </w:p>
    <w:p>
      <w:pPr>
        <w:pStyle w:val="Normal"/>
        <w:rPr/>
      </w:pPr>
      <w:r>
        <w:rPr/>
        <w:t>2016-2021годы -1770,5 тыс. руб.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2022 год – 277,4,0 тыс. руб.</w:t>
      </w:r>
    </w:p>
    <w:p>
      <w:pPr>
        <w:pStyle w:val="ListParagraph"/>
        <w:spacing w:lineRule="auto" w:line="240"/>
        <w:ind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год  начала реализации муниципальной программы – 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Отчетный финансовый год 2023  (всего) - 361,0 тыс. руб.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из них: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федерального бюджета -0,00 рублей;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областного бюджета – 0, 00 рублей;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бюджета муниципального района – 361,0 тыс. руб.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1-й год планового периода 2024 г (всего) – 0,00 тыс. руб., из них: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федерального бюджета -0,00 рублей;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областного бюджета – 0, 00 рублей;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бюджета муниципального района – 0,00 тыс. руб.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2-ой</w:t>
      </w:r>
      <w:r>
        <w:rPr/>
        <w:t xml:space="preserve"> </w:t>
      </w:r>
      <w:r>
        <w:rPr>
          <w:rFonts w:cs="Times New Roman" w:ascii="Times New Roman" w:hAnsi="Times New Roman"/>
        </w:rPr>
        <w:t>плановый период 2025 г (всего) – 356,5 тыс. руб., из них: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федерального бюджета -0,00 рублей;</w:t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областного бюджета – 0, 00 рублей;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средства бюджета муниципального района – 356,5 тыс. руб.</w:t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ind w:firstLine="709"/>
        <w:rPr>
          <w:b/>
          <w:bCs/>
        </w:rPr>
      </w:pPr>
      <w:r>
        <w:rPr/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5. Механизм реализации Программы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BodyText"/>
        <w:ind w:firstLine="708"/>
        <w:rPr/>
      </w:pPr>
      <w:r>
        <w:rPr/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>
      <w:pPr>
        <w:pStyle w:val="BodyText"/>
        <w:ind w:firstLine="708"/>
        <w:rPr/>
      </w:pPr>
      <w:r>
        <w:rPr/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>
      <w:pPr>
        <w:pStyle w:val="Normal"/>
        <w:ind w:firstLine="285" w:right="31"/>
        <w:rPr/>
      </w:pPr>
      <w:r>
        <w:rPr>
          <w:color w:val="000000"/>
        </w:rPr>
        <w:t xml:space="preserve">      </w:t>
      </w:r>
      <w:r>
        <w:rPr>
          <w:color w:val="000000"/>
        </w:rPr>
        <w:t>Исполнитель Программы несет ответственность за качественное</w:t>
      </w:r>
      <w:r>
        <w:rPr/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>
      <w:pPr>
        <w:pStyle w:val="Normal"/>
        <w:ind w:firstLine="285" w:right="31"/>
        <w:rPr/>
      </w:pPr>
      <w:r>
        <w:rPr>
          <w:color w:val="000000"/>
        </w:rPr>
        <w:t xml:space="preserve">      </w:t>
      </w:r>
      <w:r>
        <w:rPr>
          <w:color w:val="000000"/>
        </w:rPr>
        <w:t>Управление Программой осуществляет заказчик Программы.</w:t>
      </w:r>
    </w:p>
    <w:p>
      <w:pPr>
        <w:pStyle w:val="Normal"/>
        <w:ind w:firstLine="709"/>
        <w:rPr/>
      </w:pPr>
      <w:r>
        <w:rPr/>
        <w:t>Заказчик Программы:</w:t>
      </w:r>
    </w:p>
    <w:p>
      <w:pPr>
        <w:pStyle w:val="Normal"/>
        <w:ind w:firstLine="709"/>
        <w:rPr/>
      </w:pPr>
      <w:r>
        <w:rPr/>
        <w:t>1) обеспечивает реализацию Программы;</w:t>
      </w:r>
    </w:p>
    <w:p>
      <w:pPr>
        <w:pStyle w:val="Normal"/>
        <w:ind w:firstLine="709"/>
        <w:rPr/>
      </w:pPr>
      <w:r>
        <w:rPr/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>
      <w:pPr>
        <w:pStyle w:val="Normal"/>
        <w:ind w:firstLine="709"/>
        <w:rPr/>
      </w:pPr>
      <w:r>
        <w:rPr/>
        <w:t>3) осуществляет мониторинг результатов реализации мероприятий Программы;</w:t>
      </w:r>
    </w:p>
    <w:p>
      <w:pPr>
        <w:pStyle w:val="Normal"/>
        <w:ind w:firstLine="709"/>
        <w:rPr/>
      </w:pPr>
      <w:r>
        <w:rPr/>
        <w:t>4) осуществляет формирование аналитической информации о реализации мероприятий Программы;</w:t>
      </w:r>
    </w:p>
    <w:p>
      <w:pPr>
        <w:pStyle w:val="Normal"/>
        <w:ind w:firstLine="709"/>
        <w:rPr/>
      </w:pPr>
      <w:r>
        <w:rPr/>
        <w:t>5) контролирует целевое и эффективное использование выделенных бюджетных средств;</w:t>
      </w:r>
    </w:p>
    <w:p>
      <w:pPr>
        <w:pStyle w:val="Normal"/>
        <w:ind w:firstLine="709"/>
        <w:rPr/>
      </w:pPr>
      <w:r>
        <w:rPr/>
        <w:t>6) осуществляет подготовку и предоставление ежегодных отчетов о реализации Программы;</w:t>
      </w:r>
    </w:p>
    <w:p>
      <w:pPr>
        <w:pStyle w:val="Normal"/>
        <w:ind w:firstLine="709"/>
        <w:rPr/>
      </w:pPr>
      <w:r>
        <w:rPr/>
        <w:t>7) организует размещение на Интернет - сайте текста Программы и информацию о результатах её реализации.</w:t>
      </w:r>
    </w:p>
    <w:p>
      <w:pPr>
        <w:pStyle w:val="Normal"/>
        <w:ind w:firstLine="285" w:right="31"/>
        <w:rPr/>
      </w:pPr>
      <w:r>
        <w:rPr/>
        <w:t xml:space="preserve">      </w:t>
      </w:r>
      <w:r>
        <w:rPr/>
        <w:t>Порядок финансирования мероприятий программы из средств местного бюджета осуществляется путем выделения средств с последующим перечислением исполнителям конкретных мероприятий в установленном законом порядке.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>Контроль за реализацией Программы</w:t>
      </w:r>
      <w:r>
        <w:rPr>
          <w:rFonts w:cs="Times New Roman" w:ascii="Times New Roman" w:hAnsi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Чистениным А.Е.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ind w:left="36"/>
        <w:jc w:val="center"/>
        <w:rPr/>
      </w:pPr>
      <w:r>
        <w:rPr/>
        <w:drawing>
          <wp:inline distT="0" distB="0" distL="0" distR="0">
            <wp:extent cx="763270" cy="85598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Normal"/>
        <w:shd w:val="clear" w:color="auto" w:fill="FFFFFF"/>
        <w:ind w:left="36"/>
        <w:jc w:val="center"/>
        <w:rPr/>
      </w:pPr>
      <w:r>
        <w:rPr/>
        <w:t xml:space="preserve">АДМИНИСТРАЦИЯ МУНИЦИПАЛЬНОГО ОБРАЗОВАНИЯ </w:t>
      </w:r>
    </w:p>
    <w:p>
      <w:pPr>
        <w:pStyle w:val="Normal"/>
        <w:shd w:val="clear" w:color="auto" w:fill="FFFFFF"/>
        <w:ind w:left="36"/>
        <w:jc w:val="center"/>
        <w:rPr/>
      </w:pPr>
      <w:r>
        <w:rPr/>
        <w:t>«ДЕМИДОВСКИЙ РАЙОН» СМОЛЕНСКОЙ ОБЛАСТИ</w:t>
      </w:r>
    </w:p>
    <w:p>
      <w:pPr>
        <w:pStyle w:val="Normal"/>
        <w:shd w:val="clear" w:color="auto" w:fill="FFFFFF"/>
        <w:ind w:left="36"/>
        <w:jc w:val="center"/>
        <w:rPr/>
      </w:pPr>
      <w:r>
        <w:rPr/>
      </w:r>
    </w:p>
    <w:p>
      <w:pPr>
        <w:pStyle w:val="Normal"/>
        <w:shd w:val="clear" w:color="auto" w:fill="FFFFFF"/>
        <w:ind w:left="36"/>
        <w:jc w:val="center"/>
        <w:rPr>
          <w:spacing w:val="-14"/>
          <w:sz w:val="32"/>
          <w:szCs w:val="32"/>
        </w:rPr>
      </w:pPr>
      <w:r>
        <w:rPr>
          <w:spacing w:val="-14"/>
          <w:sz w:val="32"/>
          <w:szCs w:val="32"/>
        </w:rPr>
        <w:t>ПОСТАНОВЛЕНИЕ</w:t>
      </w:r>
    </w:p>
    <w:p>
      <w:pPr>
        <w:pStyle w:val="Normal"/>
        <w:shd w:val="clear" w:color="auto" w:fill="FFFFFF"/>
        <w:ind w:left="36"/>
        <w:jc w:val="center"/>
        <w:rPr/>
      </w:pPr>
      <w:r>
        <w:rPr/>
      </w:r>
    </w:p>
    <w:p>
      <w:pPr>
        <w:pStyle w:val="Normal"/>
        <w:shd w:val="clear" w:color="auto" w:fill="FFFFFF"/>
        <w:ind w:left="36"/>
        <w:rPr>
          <w:spacing w:val="-14"/>
        </w:rPr>
      </w:pPr>
      <w:r>
        <w:rPr>
          <w:spacing w:val="-14"/>
        </w:rPr>
        <w:t>от   14.10.2015   №   517</w:t>
      </w:r>
    </w:p>
    <w:p>
      <w:pPr>
        <w:pStyle w:val="Normal"/>
        <w:shd w:val="clear" w:color="auto" w:fill="FFFFFF"/>
        <w:ind w:left="36"/>
        <w:rPr/>
      </w:pPr>
      <w:r>
        <w:rPr/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утверждении муниципальной 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>
        <w:rPr>
          <w:rFonts w:cs="Times New Roman" w:ascii="Times New Roman" w:hAnsi="Times New Roman"/>
          <w:sz w:val="28"/>
          <w:szCs w:val="28"/>
        </w:rPr>
        <w:t xml:space="preserve">Повышение 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эффективности управления 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муниципальным имуществом 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«Демидовский район»  Смоленской </w:t>
      </w:r>
    </w:p>
    <w:p>
      <w:pPr>
        <w:pStyle w:val="ConsPlusNonformat"/>
        <w:widowControl/>
        <w:rPr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области» </w:t>
      </w:r>
      <w:r>
        <w:rPr>
          <w:sz w:val="28"/>
          <w:szCs w:val="28"/>
          <w:u w:val="single"/>
        </w:rPr>
        <w:t>(</w:t>
      </w:r>
      <w:r>
        <w:rPr>
          <w:rFonts w:cs="Times New Roman" w:ascii="Times New Roman" w:hAnsi="Times New Roman"/>
          <w:sz w:val="28"/>
          <w:szCs w:val="28"/>
          <w:u w:val="single"/>
        </w:rPr>
        <w:t>в редакции постановлений</w:t>
      </w:r>
      <w:r>
        <w:rPr>
          <w:u w:val="single"/>
        </w:rPr>
        <w:t xml:space="preserve"> </w:t>
      </w:r>
    </w:p>
    <w:p>
      <w:pPr>
        <w:pStyle w:val="Normal"/>
        <w:rPr>
          <w:u w:val="single"/>
        </w:rPr>
      </w:pPr>
      <w:r>
        <w:rPr>
          <w:u w:val="single"/>
        </w:rPr>
        <w:t>от 06.09.2016 № 614, от 08.12.2016 № 885,</w:t>
      </w:r>
    </w:p>
    <w:p>
      <w:pPr>
        <w:pStyle w:val="Normal"/>
        <w:rPr>
          <w:u w:val="single"/>
        </w:rPr>
      </w:pPr>
      <w:r>
        <w:rPr>
          <w:u w:val="single"/>
        </w:rPr>
        <w:t>от 12.05.2017 №367, от 17.11.2017 № 903,</w:t>
      </w:r>
    </w:p>
    <w:p>
      <w:pPr>
        <w:pStyle w:val="Normal"/>
        <w:rPr>
          <w:u w:val="single"/>
        </w:rPr>
      </w:pPr>
      <w:r>
        <w:rPr>
          <w:u w:val="single"/>
        </w:rPr>
        <w:t>от 06.02.2018 №76, от 14.02.2019 № 74,</w:t>
      </w:r>
    </w:p>
    <w:p>
      <w:pPr>
        <w:pStyle w:val="Normal"/>
        <w:rPr>
          <w:u w:val="single"/>
        </w:rPr>
      </w:pPr>
      <w:r>
        <w:rPr>
          <w:u w:val="single"/>
        </w:rPr>
        <w:t>от 22.05.2019 №276, от 18.12.2019 №736,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от 13.03.2020 № 175, от 01.09.2020 №542, </w:t>
      </w:r>
    </w:p>
    <w:p>
      <w:pPr>
        <w:pStyle w:val="Normal"/>
        <w:rPr>
          <w:u w:val="single"/>
        </w:rPr>
      </w:pPr>
      <w:r>
        <w:rPr>
          <w:u w:val="single"/>
        </w:rPr>
        <w:t xml:space="preserve">от 11.01.2021 №1, от 01.03.2021 №112, </w:t>
      </w:r>
    </w:p>
    <w:p>
      <w:pPr>
        <w:pStyle w:val="Normal"/>
        <w:rPr>
          <w:u w:val="single"/>
        </w:rPr>
      </w:pPr>
      <w:r>
        <w:rPr>
          <w:u w:val="single"/>
        </w:rPr>
        <w:t>от 07.04.2021 № 211, от 27.10.2021 № 600</w:t>
      </w:r>
    </w:p>
    <w:p>
      <w:pPr>
        <w:pStyle w:val="Normal"/>
        <w:rPr/>
      </w:pPr>
      <w:r>
        <w:rPr>
          <w:u w:val="single"/>
        </w:rPr>
        <w:t>от 26.01.2023 № 42, от 19.10.2023 № 816)</w:t>
      </w:r>
    </w:p>
    <w:p>
      <w:pPr>
        <w:pStyle w:val="Normal"/>
        <w:shd w:val="clear" w:color="auto" w:fill="FFFFFF"/>
        <w:spacing w:lineRule="exact" w:line="317"/>
        <w:ind w:left="29" w:right="4666"/>
        <w:rPr/>
      </w:pPr>
      <w:r>
        <w:rPr/>
      </w:r>
    </w:p>
    <w:p>
      <w:pPr>
        <w:pStyle w:val="Heading1"/>
        <w:numPr>
          <w:ilvl w:val="0"/>
          <w:numId w:val="0"/>
        </w:numPr>
        <w:spacing w:before="0" w:after="0"/>
        <w:ind w:hanging="0" w:left="-709"/>
        <w:jc w:val="both"/>
        <w:rPr>
          <w:b w:val="fals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ab/>
      </w:r>
      <w:r>
        <w:rPr>
          <w:rFonts w:cs="Times New Roman" w:ascii="Times New Roman" w:hAnsi="Times New Roman"/>
          <w:b w:val="false"/>
          <w:color w:val="000000"/>
          <w:sz w:val="28"/>
          <w:szCs w:val="28"/>
        </w:rPr>
        <w:t>В соответствии со  статьей 179 Бюджетного кодекса Российской Федерации, руководствуясь постановлением Администрации муниципального образования «Демидовский район» Смоленской области от 01.10.2013 №492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 Администрация муниципального образования «Демидовский район» Смоленской области</w:t>
      </w:r>
    </w:p>
    <w:p>
      <w:pPr>
        <w:pStyle w:val="Normal"/>
        <w:shd w:val="clear" w:color="auto" w:fill="FFFFFF"/>
        <w:ind w:right="86"/>
        <w:jc w:val="center"/>
        <w:rPr>
          <w:spacing w:val="-13"/>
        </w:rPr>
      </w:pPr>
      <w:r>
        <w:rPr>
          <w:spacing w:val="-13"/>
        </w:rPr>
        <w:t>ПОСТАНОВЛЯЕТ:</w:t>
      </w:r>
    </w:p>
    <w:p>
      <w:pPr>
        <w:pStyle w:val="Normal"/>
        <w:shd w:val="clear" w:color="auto" w:fill="FFFFFF"/>
        <w:ind w:right="86"/>
        <w:jc w:val="center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1. Утвердить прилагаемую муниципальную программу</w:t>
      </w:r>
      <w:r>
        <w:rPr>
          <w:sz w:val="28"/>
          <w:szCs w:val="28"/>
        </w:rPr>
        <w:t xml:space="preserve"> «</w:t>
      </w:r>
      <w:r>
        <w:rPr>
          <w:rFonts w:cs="Times New Roman" w:ascii="Times New Roman" w:hAnsi="Times New Roman"/>
          <w:sz w:val="28"/>
          <w:szCs w:val="28"/>
        </w:rPr>
        <w:t>Повышение эффективности управления муниципальным имуществом муниципального образования  «Демидовский район»  Смоленской области».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2. Разместить настоящее постановление на официальном сайте Администрации муниципальном образования «Демидовский район» Смоленской области в сети «Интернет».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заместителя Главы муниципального образования «Демидовский район» Смоленской области  Чистенина А.Е.</w:t>
      </w:r>
    </w:p>
    <w:p>
      <w:pPr>
        <w:pStyle w:val="Normal"/>
        <w:shd w:val="clear" w:color="auto" w:fill="FFFFFF"/>
        <w:spacing w:lineRule="exact" w:line="324"/>
        <w:ind w:hanging="6" w:left="6"/>
        <w:rPr/>
      </w:pPr>
      <w:r>
        <w:rPr/>
      </w:r>
    </w:p>
    <w:p>
      <w:pPr>
        <w:pStyle w:val="Normal"/>
        <w:shd w:val="clear" w:color="auto" w:fill="FFFFFF"/>
        <w:spacing w:lineRule="exact" w:line="324"/>
        <w:ind w:hanging="6" w:left="6"/>
        <w:rPr/>
      </w:pPr>
      <w:r>
        <w:rPr/>
        <w:t xml:space="preserve">И.о. Главы муниципального образования </w:t>
      </w:r>
    </w:p>
    <w:p>
      <w:pPr>
        <w:pStyle w:val="Normal"/>
        <w:shd w:val="clear" w:color="auto" w:fill="FFFFFF"/>
        <w:spacing w:lineRule="exact" w:line="324"/>
        <w:ind w:hanging="6" w:left="6"/>
        <w:rPr/>
      </w:pPr>
      <w:r>
        <w:rPr/>
        <w:t>«Демидовский район» Смоленской области                                 А.Е. Чистенин</w:t>
      </w:r>
    </w:p>
    <w:p>
      <w:pPr>
        <w:pStyle w:val="Normal"/>
        <w:rPr/>
      </w:pPr>
      <w:r>
        <w:rPr/>
      </w:r>
    </w:p>
    <w:p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color w:val="FF0000"/>
        </w:rPr>
      </w:pPr>
      <w:r>
        <w:rPr>
          <w:rFonts w:cs="Times New Roman" w:ascii="Times New Roman" w:hAnsi="Times New Roman"/>
          <w:color w:val="FF000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567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i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6aa1"/>
    <w:pPr>
      <w:widowControl/>
      <w:bidi w:val="0"/>
      <w:spacing w:lineRule="atLeast" w:line="360" w:before="0" w:after="0"/>
      <w:jc w:val="both"/>
    </w:pPr>
    <w:rPr>
      <w:rFonts w:ascii="Times New Roman CYR" w:hAnsi="Times New Roman CYR" w:eastAsia="Times New Roman" w:cs="Times New Roman CYR"/>
      <w:color w:val="auto"/>
      <w:kern w:val="0"/>
      <w:sz w:val="28"/>
      <w:szCs w:val="28"/>
      <w:lang w:eastAsia="ru-RU" w:val="ru-RU" w:bidi="ar-SA"/>
    </w:rPr>
  </w:style>
  <w:style w:type="paragraph" w:styleId="Heading1">
    <w:name w:val="Heading 1"/>
    <w:basedOn w:val="Normal"/>
    <w:next w:val="Normal"/>
    <w:link w:val="1"/>
    <w:qFormat/>
    <w:rsid w:val="00e43a98"/>
    <w:pPr>
      <w:numPr>
        <w:ilvl w:val="0"/>
        <w:numId w:val="2"/>
      </w:numPr>
      <w:suppressAutoHyphens w:val="true"/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qFormat/>
    <w:rsid w:val="00331a1b"/>
    <w:rPr>
      <w:rFonts w:ascii="Times New Roman CYR" w:hAnsi="Times New Roman CYR" w:eastAsia="Times New Roman" w:cs="Times New Roman CYR"/>
      <w:sz w:val="28"/>
      <w:szCs w:val="28"/>
      <w:lang w:eastAsia="ru-RU"/>
    </w:rPr>
  </w:style>
  <w:style w:type="character" w:styleId="1" w:customStyle="1">
    <w:name w:val="Заголовок 1 Знак"/>
    <w:basedOn w:val="DefaultParagraphFont"/>
    <w:qFormat/>
    <w:rsid w:val="00e43a98"/>
    <w:rPr>
      <w:rFonts w:ascii="Arial" w:hAnsi="Arial" w:eastAsia="Times New Roman" w:cs="Arial"/>
      <w:b/>
      <w:bCs/>
      <w:color w:val="000080"/>
      <w:sz w:val="20"/>
      <w:szCs w:val="20"/>
      <w:lang w:eastAsia="ar-SA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43a98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3"/>
    <w:rsid w:val="00331a1b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331a1b"/>
    <w:pPr>
      <w:ind w:left="720"/>
    </w:pPr>
    <w:rPr/>
  </w:style>
  <w:style w:type="paragraph" w:styleId="ConsPlusNormal" w:customStyle="1">
    <w:name w:val="ConsPlusNormal"/>
    <w:qFormat/>
    <w:rsid w:val="00331a1b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331a1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43a9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be7e4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D21FC-D7D8-448B-85EE-377FCD81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LibreOffice/7.6.2.1$Windows_X86_64 LibreOffice_project/56f7684011345957bbf33a7ee678afaf4d2ba333</Application>
  <AppVersion>15.0000</AppVersion>
  <Pages>10</Pages>
  <Words>1835</Words>
  <Characters>13044</Characters>
  <CharactersWithSpaces>16240</CharactersWithSpaces>
  <Paragraphs>271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2023-02-06T05:57:00Z</dcterms:created>
  <dc:creator>USER</dc:creator>
  <dc:description/>
  <dc:language>ru-RU</dc:language>
  <cp:lastModifiedBy/>
  <cp:lastPrinted>2023-02-06T07:58:00Z</cp:lastPrinted>
  <dcterms:modified xsi:type="dcterms:W3CDTF">2023-11-01T16:34:46Z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