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108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ind w:left="0" w:right="-1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результатам внешней проверки годовой бюджетной отчетности главного распорядителя бюджетных средств  финансового управления  Администрации муниципального образования «Демидовский район» Смоленской области за 2024 год</w:t>
      </w:r>
    </w:p>
    <w:p>
      <w:pPr>
        <w:pStyle w:val="Normal"/>
        <w:spacing w:before="0" w:after="200"/>
        <w:ind w:left="0" w:right="0" w:firstLine="567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положения.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Основание для проведения проверки: 264.4 Бюджетного кодекса Российской Федерации, пп3 п3.1 раздела 3 Положения о Контрольно-ревизионной комиссии муниципального образования «Демидовский район» Смоленской области, утвержденное решением Демидовского районного  Совета депутатов от 16.09.2021 № 77/11, п. 2 раздела 1, плана работы Контрольно-ревизионной комиссии на 2025 год.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sz w:val="28"/>
          <w:szCs w:val="28"/>
          <w:u w:val="none"/>
        </w:rPr>
        <w:t xml:space="preserve">Цель проверки: </w:t>
      </w:r>
    </w:p>
    <w:p>
      <w:pPr>
        <w:pStyle w:val="Normal"/>
        <w:spacing w:lineRule="auto" w:line="240" w:before="0" w:after="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полноты и прозрачности бюджетной отчетности главного распорядителя и ее соответствие требованиям нормативных правовых актов; </w:t>
      </w:r>
    </w:p>
    <w:p>
      <w:pPr>
        <w:pStyle w:val="Normal"/>
        <w:spacing w:lineRule="auto" w:line="240" w:before="0" w:after="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оценка достоверности показателей бюджетной отчётности главного распорядителя бюджетных средств, внутренней согласованности соответствующих форм отчётности, соблюдение контрольных соотношений. </w:t>
      </w:r>
    </w:p>
    <w:p>
      <w:pPr>
        <w:pStyle w:val="Style21"/>
        <w:widowControl w:val="false"/>
        <w:spacing w:before="0" w:after="0"/>
        <w:ind w:left="0" w:right="0" w:firstLine="709"/>
        <w:contextualSpacing/>
        <w:jc w:val="both"/>
        <w:rPr/>
      </w:pPr>
      <w:r>
        <w:rPr>
          <w:b/>
          <w:bCs/>
          <w:sz w:val="28"/>
          <w:szCs w:val="28"/>
          <w:u w:val="none"/>
        </w:rPr>
        <w:t>Объект проверки: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 Финансовое управление Администрации муниципального образования «Демидовский район» Смоленской области (далее – Финансовое управление). </w:t>
      </w:r>
    </w:p>
    <w:p>
      <w:pPr>
        <w:pStyle w:val="Normal"/>
        <w:spacing w:lineRule="auto" w:line="240" w:before="0" w:after="0"/>
        <w:ind w:left="0" w:right="-567" w:firstLine="709"/>
        <w:contextualSpacing/>
        <w:jc w:val="both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Предмет проверки:  годовая бюджетная отчётность за 2024 год.</w:t>
      </w:r>
    </w:p>
    <w:p>
      <w:pPr>
        <w:pStyle w:val="Normal"/>
        <w:tabs>
          <w:tab w:val="left" w:pos="567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</w:rPr>
        <w:t>Ответственный исполнитель</w:t>
      </w:r>
      <w:r>
        <w:rPr>
          <w:rFonts w:cs="Times New Roman" w:ascii="Times New Roman" w:hAnsi="Times New Roman"/>
          <w:sz w:val="28"/>
          <w:szCs w:val="28"/>
        </w:rPr>
        <w:t>: инспектор Контрольно-ревизионной комиссии муниципального образования «Демидовский муниципальный округ» Смоленской  области – Захаревская Т.В.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Ответственными должностными лицами и распорядителями средств   районного бюджета в проверяемом периоде являлись: начальник финансового управления – Козлова Н.П, </w:t>
      </w:r>
      <w:r>
        <w:rPr>
          <w:rFonts w:eastAsia="Times New Roman"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</w:rPr>
        <w:t>Начальник отдела учета и отчетности  Хромых О.Г.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</w:rPr>
        <w:t>Срок проведения проверки: с</w:t>
      </w:r>
      <w:r>
        <w:rPr>
          <w:rFonts w:cs="Times New Roman" w:ascii="Times New Roman" w:hAnsi="Times New Roman"/>
          <w:sz w:val="28"/>
          <w:szCs w:val="28"/>
        </w:rPr>
        <w:t xml:space="preserve"> 17  марта 2025 года по 19 марта 2025 года. 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Внешняя проверка годовой бюджетной отчетности главного распорядителя средств районного бюджета проводилась камеральным методом.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200"/>
        <w:ind w:left="765" w:right="0" w:hanging="0"/>
        <w:contextualSpacing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2. Общая характеристика организационной структуры Финансового управления Администрации муниципального образования «Демидовский район» Смоленской области.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Финансовое управление Администрации муниципального образования «Демидовский район» Смоленской области является структурным подразделением Администрации  муниципального образования «Демидовский район» Смоленской области. Является органом, обеспечивающим проведение единой финансовой политики в муниципальном образовании «Демидовский район» Смоленской области. Обладает правами юридического лица, имеет  счета  в учреждениях банка, самостоятельный баланс, печать, бланки, штампы.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Бухгалтерское обслуживание  финансово-хозяйственной деятельности  осуществляется  </w:t>
      </w:r>
      <w:r>
        <w:rPr>
          <w:rFonts w:ascii="Times New Roman" w:hAnsi="Times New Roman"/>
          <w:sz w:val="28"/>
          <w:szCs w:val="28"/>
        </w:rPr>
        <w:t xml:space="preserve"> с использованием программного продукта  «Турбо Бухгалтер».</w:t>
      </w:r>
    </w:p>
    <w:p>
      <w:pPr>
        <w:pStyle w:val="31"/>
        <w:spacing w:lineRule="auto" w:line="276"/>
        <w:ind w:left="0" w:right="0" w:firstLine="709"/>
        <w:jc w:val="both"/>
        <w:rPr/>
      </w:pPr>
      <w:r>
        <w:rPr>
          <w:szCs w:val="28"/>
        </w:rPr>
        <w:t xml:space="preserve">В соответствии с Приложением № 12 «Ведомственная структура расходов районного бюджета на 2024 год и плановый период 2025 и 2026 годов»,  </w:t>
      </w:r>
      <w:r>
        <w:rPr>
          <w:rFonts w:eastAsia="" w:cs="" w:cstheme="minorBidi" w:eastAsiaTheme="minorEastAsia"/>
          <w:szCs w:val="28"/>
        </w:rPr>
        <w:t xml:space="preserve">утвержденным   решением Демидовского  районного Совета депутатов </w:t>
      </w:r>
      <w:r>
        <w:rPr>
          <w:rFonts w:eastAsia="" w:cs="Times New Roman" w:eastAsiaTheme="minorEastAsia"/>
          <w:sz w:val="28"/>
          <w:szCs w:val="28"/>
        </w:rPr>
        <w:t xml:space="preserve"> от 26.12.2023 года №97/9  «О бюджете муниципального образования «Демидовский район» Смоленской области  на 2024 год и на плановый период 2025 и 2026 годов»</w:t>
      </w:r>
      <w:r>
        <w:rPr>
          <w:rFonts w:eastAsia="" w:cs="" w:cstheme="minorBidi" w:eastAsiaTheme="minorEastAsia"/>
          <w:szCs w:val="28"/>
        </w:rPr>
        <w:t xml:space="preserve">, </w:t>
      </w:r>
      <w:r>
        <w:rPr>
          <w:szCs w:val="28"/>
        </w:rPr>
        <w:t xml:space="preserve"> Финансовое управление  является главным распорядителем бюджетных средств, с кодом 956, что  соответствует ст. 6 Бюджетного кодекса Российской Федерации. </w:t>
      </w:r>
    </w:p>
    <w:p>
      <w:pPr>
        <w:pStyle w:val="Normal"/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данными Пояснительной записки ф. 0503160 на 01.01.2024 года в ведении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финансового управления</w:t>
      </w:r>
      <w:r>
        <w:rPr>
          <w:rFonts w:cs="Times New Roman" w:ascii="Times New Roman" w:hAnsi="Times New Roman"/>
          <w:sz w:val="28"/>
          <w:szCs w:val="28"/>
        </w:rPr>
        <w:t xml:space="preserve">  подведомственных учреждений нет. Изменений и реорганизаций в структуре финансового управления в 2024году не происходило. </w:t>
      </w:r>
    </w:p>
    <w:p>
      <w:pPr>
        <w:pStyle w:val="Normal"/>
        <w:spacing w:lineRule="auto" w:line="240" w:before="0" w:after="20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widowControl w:val="false"/>
        <w:suppressAutoHyphens w:val="true"/>
        <w:spacing w:before="0" w:after="20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  <w:t>3. Анализ составления и представления отчетности по составу, содержанию, прозрачности и информативности показателей.</w:t>
      </w:r>
    </w:p>
    <w:p>
      <w:pPr>
        <w:pStyle w:val="Normal"/>
        <w:widowControl w:val="false"/>
        <w:suppressAutoHyphens w:val="true"/>
        <w:spacing w:before="0" w:after="20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ar-SA"/>
        </w:rPr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highlight w:val="yellow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Бюджетная отчетность за 2024 год представлена Финансовым управлением в Контрольно-ревизионную комиссию без нарушения сроков, установленных Положением о бюджетном процессе в муниципальном образовании «Демидовский район» Смоленской области. 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Бюджетная отчетность главного распорядителя бюджетных средств сформирована в объеме форм, предусмотренных 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от 28 декабря 2010 г №191н (далее Инструкция 191н) и состоит из: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баланса главного распорядителя, распорядителя, получателя бюджетных средств, главного администратора, администратора доходов бюджета (ф.0503130);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справки по заключению счетов бюджетного учёта отчётного финансового года (ф. 0503110);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принятых бюджетных обязательствах (ф. 0503128);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отчёта о финансовых результатах деятельности (ф. 0503121);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- отчета о движении денежных средств (ф. 0503123);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overflowPunct w:val="true"/>
        <w:bidi w:val="0"/>
        <w:spacing w:lineRule="auto" w:line="276" w:before="0" w:after="200"/>
        <w:ind w:left="57" w:right="0" w:firstLine="17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- пояснительной записки, в состав которой входят: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Таблица №3 «Сведения об исполнении текстовых статей закона (решения) о бюджете»; 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 xml:space="preserve">Таблица №4 </w:t>
      </w:r>
      <w:r>
        <w:rPr>
          <w:rFonts w:eastAsia="Calibri" w:ascii="Times New Roman" w:hAnsi="Times New Roman"/>
          <w:sz w:val="28"/>
          <w:szCs w:val="28"/>
          <w:lang w:eastAsia="en-US"/>
        </w:rPr>
        <w:t>«Сведения об основных положениях учетной политики»;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eastAsia="Calibri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eastAsia="en-US"/>
        </w:rPr>
        <w:t>Таблица N 11 Сведения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об организационной структуре субъекта бюджетной отчетности;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Таблица N 12 Сведения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 результатах деятельности субъекта бюджетной отчетности 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№13 Анализ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отчета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об исполнении бюджета субъектом бюджетной отчетности;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Таблица №16 Прочие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вопросы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деятельности субъекта бюджетной отчетности;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Сведения об исполнении бюджета (ф. 0503164);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 движении нефинансовых активов (ф. 0503168);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по дебиторской и кредиторской задолженности (ф. 0503169);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Сведения о государственном (муниципальном) долге, предоставленных бюджетных кредитах (ф. 0503172);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Сведения об изменении остатков валюты баланса (ф. 0503173).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пункту 152 Инструкции 191н  раздел 5 Пояснительной записки (ф. 0503160) таблица 16 «Прочие вопросы деятельности субъекта бюджетной отчетности», включает перечень форм отчетности, не включенных в состав бюджетной отчетности за отчетный период в виду отсутствия числовых значений показателей. В связи с этим не представлены следующие формы бюджетной отчетности: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об исполнении мероприятий в рамках целевых программ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hyperlink r:id="rId2">
        <w:r>
          <w:rPr>
            <w:rStyle w:val="Style18"/>
            <w:rFonts w:ascii="Times New Roman" w:hAnsi="Times New Roman"/>
            <w:sz w:val="28"/>
            <w:szCs w:val="28"/>
            <w:u w:val="none"/>
          </w:rPr>
          <w:t>(ф. 0503166)</w:t>
        </w:r>
      </w:hyperlink>
      <w:r>
        <w:rPr>
          <w:rFonts w:ascii="Times New Roman" w:hAnsi="Times New Roman"/>
          <w:sz w:val="28"/>
          <w:szCs w:val="28"/>
          <w:u w:val="none"/>
        </w:rPr>
        <w:t>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eastAsia="Calibri" w:ascii="Times New Roman" w:hAnsi="Times New Roman"/>
          <w:sz w:val="28"/>
          <w:szCs w:val="28"/>
          <w:lang w:eastAsia="en-US"/>
        </w:rPr>
        <w:t>«Сведения о целевых иностранных кредитах» (</w:t>
      </w:r>
      <w:hyperlink r:id="rId3">
        <w:r>
          <w:rPr>
            <w:rStyle w:val="Style18"/>
            <w:rFonts w:eastAsia="Calibri" w:ascii="Times New Roman" w:hAnsi="Times New Roman"/>
            <w:sz w:val="28"/>
            <w:szCs w:val="28"/>
            <w:lang w:eastAsia="en-US"/>
          </w:rPr>
          <w:t>ф. 0503167</w:t>
        </w:r>
      </w:hyperlink>
      <w:r>
        <w:rPr>
          <w:rFonts w:ascii="Times New Roman" w:hAnsi="Times New Roman"/>
          <w:sz w:val="28"/>
          <w:szCs w:val="28"/>
        </w:rPr>
        <w:t>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«Сведения о движении нефинансовых активов (по имуществу казны)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(</w:t>
      </w:r>
      <w:hyperlink r:id="rId4">
        <w:r>
          <w:rPr>
            <w:rStyle w:val="Style18"/>
            <w:rFonts w:ascii="Times New Roman" w:hAnsi="Times New Roman"/>
            <w:sz w:val="28"/>
            <w:szCs w:val="28"/>
          </w:rPr>
          <w:t>ф. 050316</w:t>
        </w:r>
      </w:hyperlink>
      <w:r>
        <w:rPr>
          <w:rStyle w:val="Style18"/>
          <w:rFonts w:eastAsia="Calibri" w:ascii="Times New Roman" w:hAnsi="Times New Roman"/>
          <w:sz w:val="28"/>
          <w:szCs w:val="28"/>
          <w:lang w:eastAsia="en-US"/>
        </w:rPr>
        <w:t>8 _</w:t>
      </w:r>
      <w:r>
        <w:rPr>
          <w:rStyle w:val="Style18"/>
          <w:rFonts w:eastAsia="Calibri" w:ascii="Times New Roman" w:hAnsi="Times New Roman"/>
          <w:sz w:val="28"/>
          <w:szCs w:val="28"/>
          <w:lang w:val="ru-RU" w:eastAsia="en-US"/>
        </w:rPr>
        <w:t>К</w:t>
      </w:r>
      <w:r>
        <w:rPr>
          <w:rFonts w:ascii="Times New Roman" w:hAnsi="Times New Roman"/>
          <w:sz w:val="28"/>
          <w:szCs w:val="28"/>
        </w:rPr>
        <w:t>):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>«Сведения о финансовых вложениях получателя бюджетных средств, администратора источников финансирования дефицита бюджета»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(</w:t>
      </w:r>
      <w:hyperlink r:id="rId5">
        <w:r>
          <w:rPr>
            <w:rStyle w:val="Style18"/>
            <w:rFonts w:ascii="Times New Roman" w:hAnsi="Times New Roman"/>
            <w:sz w:val="28"/>
            <w:szCs w:val="28"/>
          </w:rPr>
          <w:t>ф. 050317</w:t>
        </w:r>
      </w:hyperlink>
      <w:r>
        <w:rPr>
          <w:rStyle w:val="Style18"/>
          <w:rFonts w:eastAsia="Calibri"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);</w:t>
      </w:r>
    </w:p>
    <w:p>
      <w:pPr>
        <w:pStyle w:val="Normal"/>
        <w:widowControl w:val="false"/>
        <w:shd w:val="clear" w:fill="FFFFFF"/>
        <w:tabs>
          <w:tab w:val="left" w:pos="0" w:leader="none"/>
        </w:tabs>
        <w:suppressAutoHyphens w:val="true"/>
        <w:spacing w:before="0" w:after="20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  <w:t>Сведения об изменении остатков валюты баланса (ф. 0503173).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227" w:right="0" w:firstLine="113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</w:t>
      </w:r>
      <w:r>
        <w:rPr>
          <w:rFonts w:eastAsia="Calibri"/>
          <w:sz w:val="28"/>
          <w:szCs w:val="28"/>
          <w:lang w:eastAsia="en-US"/>
        </w:rPr>
        <w:t>(</w:t>
      </w:r>
      <w:hyperlink r:id="rId6">
        <w:r>
          <w:rPr>
            <w:rStyle w:val="Style18"/>
            <w:sz w:val="28"/>
            <w:szCs w:val="28"/>
          </w:rPr>
          <w:t>ф. 05031</w:t>
        </w:r>
      </w:hyperlink>
      <w:r>
        <w:rPr>
          <w:rStyle w:val="Style18"/>
          <w:rFonts w:eastAsia="Calibri"/>
          <w:sz w:val="28"/>
          <w:szCs w:val="28"/>
          <w:lang w:eastAsia="en-US"/>
        </w:rPr>
        <w:t>74</w:t>
      </w:r>
      <w:r>
        <w:rPr>
          <w:sz w:val="28"/>
          <w:szCs w:val="28"/>
          <w:lang w:eastAsia="ar-SA"/>
        </w:rPr>
        <w:t>);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283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«Сведения о принятых и неисполненных обязательствах получателя бюджетных средств»</w:t>
      </w:r>
      <w:r>
        <w:rPr>
          <w:rFonts w:eastAsia="Calibri"/>
          <w:sz w:val="28"/>
          <w:szCs w:val="28"/>
          <w:lang w:eastAsia="en-US"/>
        </w:rPr>
        <w:t>(</w:t>
      </w:r>
      <w:hyperlink r:id="rId7">
        <w:r>
          <w:rPr>
            <w:rStyle w:val="Style18"/>
            <w:sz w:val="28"/>
            <w:szCs w:val="28"/>
          </w:rPr>
          <w:t>ф. 05031</w:t>
        </w:r>
      </w:hyperlink>
      <w:r>
        <w:rPr>
          <w:rStyle w:val="Style18"/>
          <w:rFonts w:eastAsia="Calibri"/>
          <w:sz w:val="28"/>
          <w:szCs w:val="28"/>
          <w:lang w:eastAsia="en-US"/>
        </w:rPr>
        <w:t>75</w:t>
      </w:r>
      <w:r>
        <w:rPr>
          <w:sz w:val="28"/>
          <w:szCs w:val="28"/>
          <w:lang w:eastAsia="ar-SA"/>
        </w:rPr>
        <w:t>);</w:t>
      </w:r>
    </w:p>
    <w:p>
      <w:pPr>
        <w:pStyle w:val="ListParagraph"/>
        <w:widowControl/>
        <w:tabs>
          <w:tab w:val="left" w:pos="740" w:leader="none"/>
        </w:tabs>
        <w:suppressAutoHyphens w:val="true"/>
        <w:overflowPunct w:val="true"/>
        <w:bidi w:val="0"/>
        <w:spacing w:lineRule="auto" w:line="240" w:before="0" w:after="0"/>
        <w:ind w:left="283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«Сведения об остатках денежных средств на счетах получателя     бюджетных средств» (ф. 0503178);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40" w:before="0" w:after="0"/>
        <w:ind w:left="227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«Сведения об объектах незавершенного строительства , вложениях в объекты         недвижимого имущества» (ф. 0503190);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«Сведения об исполнении судебных решений по денежным обязательствам бюджета»(ф. 0503296) 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«Справка по консолидируемым расчетам» </w:t>
      </w:r>
      <w:hyperlink r:id="rId8">
        <w:r>
          <w:rPr>
            <w:rStyle w:val="Style18"/>
            <w:sz w:val="28"/>
            <w:szCs w:val="28"/>
          </w:rPr>
          <w:t>(ф. 0503125)</w:t>
        </w:r>
      </w:hyperlink>
      <w:r>
        <w:rPr>
          <w:sz w:val="28"/>
          <w:szCs w:val="28"/>
        </w:rPr>
        <w:t>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форма 0503125 «Справка по консолидируемым расчетам» по счетам 120561000;120561561;1205615661;120651000;120651561;120651661;120654000;120654561;120654661;120721000;120721541;120721641;120731000;120731541;120731641;13012100;130121710;130121810;13013100;130131710;130131810;130251000;130305000;130305000;130305731;130305831;130406000;140110161;140110189;14141151;14141161;1401149161;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-Таблица № 1 «Сведения о результатах деятельности»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 Таблица № 6  «Сведения о проведении инвентаризации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Таблица №14 «Анализ показателей отчетности субъекта бюджетной отчетности»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  Таблица  №15  «Причины увеличения просроченной задолженности»     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17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</w:p>
    <w:p>
      <w:pPr>
        <w:pStyle w:val="Normal"/>
        <w:spacing w:before="0" w:after="20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ab/>
        <w:t xml:space="preserve">Перед составлением годовой бюджетной отчетности проведена инвентаризация активов, в соответствии с Федеральным Законом №402 от 06.12.2011 (в редакции от 12.12.2023) «О бухгалтерском учете», с Приказом Минфина РФ от 13.06.1995 № 49 «Об утверждении Методических указаний по инвентаризации имущества и финансовых обязательств», </w:t>
      </w:r>
      <w:bookmarkStart w:id="0" w:name="__DdeLink__998_3230056107"/>
      <w:r>
        <w:rPr>
          <w:rStyle w:val="12"/>
          <w:rFonts w:cs="Times New Roman" w:ascii="Times New Roman" w:hAnsi="Times New Roman"/>
          <w:color w:val="000000"/>
        </w:rPr>
        <w:t>Федеральным стандартом бухгалтерского учета «Концептуальные основы бухгалтерского учета и отчетности организаций государственного сектора»</w:t>
      </w:r>
      <w:bookmarkEnd w:id="0"/>
      <w:r>
        <w:rPr>
          <w:rStyle w:val="12"/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ar-SA"/>
        </w:rPr>
        <w:t>и п.7 Инструкции 191н, а так же в соответствии с приказом Финансового управления № 26 от 29.11.2024. Расхождений с данными бухгалтерского учета не установлено.</w:t>
      </w:r>
    </w:p>
    <w:p>
      <w:pPr>
        <w:pStyle w:val="Normal"/>
        <w:spacing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 xml:space="preserve">Бюджетная отчетность представлена в соответствии с п.4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lang w:eastAsia="ar-SA"/>
        </w:rPr>
        <w:t xml:space="preserve">Инструкции №191н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</w:rPr>
        <w:t>на бумажном носителе, в сброшюрованном и пронумерованном виде с оглавлением и сопроводительным письмом.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before="0" w:after="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ab/>
        <w:t>Формы представленной бюджетной отчетности подписаны  начальником и главным бухгалтером</w:t>
      </w:r>
      <w:r>
        <w:rPr>
          <w:rFonts w:cs="Times New Roman" w:ascii="Times New Roman" w:hAnsi="Times New Roman"/>
          <w:sz w:val="28"/>
          <w:szCs w:val="28"/>
          <w:highlight w:val="white"/>
          <w:lang w:eastAsia="ar-SA"/>
        </w:rPr>
        <w:t xml:space="preserve"> Финансового управления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«Демидовский район» Смоленской области .</w:t>
      </w:r>
    </w:p>
    <w:p>
      <w:pPr>
        <w:pStyle w:val="Normal"/>
        <w:suppressAutoHyphens w:val="true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Отчетность составлена нарастающим итогом с начала года в рублях, с точностью до второго десятичного знака после запятой, что соответствует требованиям, предъявляемым п.9 Инструкции №191н. </w:t>
      </w:r>
    </w:p>
    <w:p>
      <w:pPr>
        <w:pStyle w:val="Normal"/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</w:tabs>
        <w:spacing w:before="0" w:after="20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4. Анализ показателей годовой отчётности.</w:t>
      </w:r>
    </w:p>
    <w:p>
      <w:pPr>
        <w:pStyle w:val="Normal"/>
        <w:tabs>
          <w:tab w:val="left" w:pos="0" w:leader="none"/>
        </w:tabs>
        <w:spacing w:before="0" w:after="20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4.1.  В отчете  о финансовых результатах деятельности по состоянию на 01.01.2025г. </w:t>
      </w:r>
      <w:r>
        <w:rPr>
          <w:rStyle w:val="Style14"/>
          <w:rFonts w:cs="Times New Roman" w:ascii="Times New Roman" w:hAnsi="Times New Roman"/>
          <w:i w:val="false"/>
          <w:iCs w:val="false"/>
          <w:sz w:val="28"/>
          <w:szCs w:val="28"/>
        </w:rPr>
        <w:t>(ф. 0503121)</w:t>
      </w:r>
      <w:r>
        <w:rPr>
          <w:rFonts w:cs="Times New Roman" w:ascii="Times New Roman" w:hAnsi="Times New Roman"/>
          <w:sz w:val="28"/>
          <w:szCs w:val="28"/>
        </w:rPr>
        <w:t xml:space="preserve"> доходы в общей сумме составляют  228075183,13рублей, расходы в общей сумме 50079421,99 рубля</w:t>
      </w:r>
      <w:r>
        <w:rPr>
          <w:rStyle w:val="Style14"/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Чистый операционный результат за 2024 год составил 177995761,14рубля .</w:t>
      </w:r>
    </w:p>
    <w:p>
      <w:pPr>
        <w:pStyle w:val="Normal"/>
        <w:tabs>
          <w:tab w:val="left" w:pos="0" w:leader="none"/>
        </w:tabs>
        <w:spacing w:before="0" w:after="200"/>
        <w:ind w:left="0" w:right="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1, руб.</w:t>
      </w:r>
    </w:p>
    <w:tbl>
      <w:tblPr>
        <w:tblW w:w="9464" w:type="dxa"/>
        <w:jc w:val="left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</w:tblPr>
      <w:tblGrid>
        <w:gridCol w:w="648"/>
        <w:gridCol w:w="4560"/>
        <w:gridCol w:w="4256"/>
      </w:tblGrid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Бюджетная деятельность</w:t>
            </w:r>
          </w:p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(рублей)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228075183,13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50079421,99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Чистый операционный результат (стр.3+стр.4)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177995761,14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нефинансовыми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2435,68</w:t>
            </w:r>
          </w:p>
        </w:tc>
      </w:tr>
      <w:tr>
        <w:trPr/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Операции </w:t>
            </w:r>
          </w:p>
          <w:p>
            <w:pPr>
              <w:pStyle w:val="Normal"/>
              <w:spacing w:lineRule="auto" w:line="240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финансовыми активами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253841219,37</w:t>
            </w:r>
          </w:p>
        </w:tc>
      </w:tr>
    </w:tbl>
    <w:p>
      <w:pPr>
        <w:pStyle w:val="5"/>
        <w:shd w:val="clear" w:fill="FFFFFF"/>
        <w:spacing w:lineRule="auto" w:line="240" w:before="0" w:after="200"/>
        <w:ind w:left="0" w:right="-425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5"/>
        <w:widowControl w:val="false"/>
        <w:shd w:val="clear" w:fill="FFFFFF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Доходы в размере 228075183,13 рублей сложились за счет доходов от собственности (проценты  по предоставленным заимствованиям      КОСГУ 125 в размере 364,75 рублей,  Поступлений текущего характера от других бюджетов бюджетной системы Российской Федерации КОСГУ 151 в размере 229444100,00,00рублей).</w:t>
      </w:r>
    </w:p>
    <w:p>
      <w:pPr>
        <w:pStyle w:val="5"/>
        <w:widowControl w:val="false"/>
        <w:shd w:val="clear" w:fill="FFFFFF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 строке 090 КОСГУ 173 отражено прекращение обязательств бюджета Пржевальского городского поселения  Демидовского района  Смоленской области  перед бюджетом муниципального образования «Демидовский район» Смоленской области  по  договору №1 от 25.12.2012 года «О предоставлении бюджетного  кредита бюджету муниципального образования  Пржевальского городского поселения Демидовского района Смоленской области для частичного покрытия дефицита» в сумме  (- ) 364747,28 рублей.</w:t>
      </w:r>
    </w:p>
    <w:p>
      <w:pPr>
        <w:pStyle w:val="5"/>
        <w:widowControl w:val="false"/>
        <w:shd w:val="clear" w:fill="FFFFFF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По строке 110 КОСГУ 191 в связи с преобразованием муниципального образования  Демидовского городского поселения Демидовского района Смоленской области отражена операция по приему обязательств по бюджетному кредиту предоставленному из областного бюджета в сумме (-)1004534,34 рублей.</w:t>
      </w:r>
    </w:p>
    <w:p>
      <w:pPr>
        <w:pStyle w:val="5"/>
        <w:widowControl w:val="false"/>
        <w:shd w:val="clear" w:fill="FFFFFF"/>
        <w:overflowPunct w:val="true"/>
        <w:bidi w:val="0"/>
        <w:spacing w:lineRule="auto" w:line="240" w:before="0" w:after="20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Согласно Отчету (ф.0503121) фактические расходы составляют 50079421,99 рублей.</w:t>
      </w:r>
    </w:p>
    <w:p>
      <w:pPr>
        <w:pStyle w:val="5"/>
        <w:shd w:val="clear" w:fill="FFFFFF"/>
        <w:spacing w:lineRule="auto" w:line="276" w:before="0" w:after="200"/>
        <w:ind w:left="0" w:right="-1" w:firstLine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Показатели Отчета (ф.0503121) на 01 января 2024 года  подтверждаются данными справки формы 0503110 </w:t>
      </w:r>
      <w:r>
        <w:rPr>
          <w:rFonts w:cs="Times New Roman" w:ascii="Times New Roman" w:hAnsi="Times New Roman"/>
          <w:i/>
          <w:sz w:val="28"/>
          <w:szCs w:val="28"/>
        </w:rPr>
        <w:t>«Справка по заключению счетов бюджетного учета отчетного финансового года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4.2.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 Отчете о движении денежных средств (ф. 0503123) поступления по текущим операциям  составляют 229444464,75рублей.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В Отчете отражены данные по кассовым выбытием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 50014798,10рублей.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4.3.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 содержит показатели, характеризующие выполнение годовых утвержденных назначений на 2024 год по расходам и источникам финансирования дефицита бюджета. </w:t>
      </w:r>
    </w:p>
    <w:p>
      <w:pPr>
        <w:pStyle w:val="5"/>
        <w:shd w:val="clear" w:fill="FFFFFF"/>
        <w:spacing w:lineRule="auto" w:line="276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Бюджетные назначения по расходам, утвержденные  в размере 50285887,22 рублей, исполнены в размере 50014798,10 рублей, в пределах  утвержденных на 2024 год лимитов бюджетных обязательств. Неиспользованные назначения по бюджетным ассигнованиям, по лимитам бюджетных обязательств составили 271089,12рублей или </w:t>
      </w:r>
      <w:r>
        <w:rPr>
          <w:rFonts w:cs="Times New Roman" w:ascii="Times New Roman" w:hAnsi="Times New Roman"/>
          <w:sz w:val="28"/>
          <w:szCs w:val="28"/>
        </w:rPr>
        <w:t>0,5</w:t>
      </w:r>
      <w:r>
        <w:rPr>
          <w:rFonts w:cs="Times New Roman" w:ascii="Times New Roman" w:hAnsi="Times New Roman"/>
          <w:sz w:val="28"/>
          <w:szCs w:val="28"/>
        </w:rPr>
        <w:t xml:space="preserve">% от бюджетных ассигнований. </w:t>
      </w:r>
    </w:p>
    <w:p>
      <w:pPr>
        <w:pStyle w:val="5"/>
        <w:shd w:val="clear" w:fill="FFFFFF"/>
        <w:spacing w:lineRule="auto" w:line="240" w:before="0" w:after="200"/>
        <w:ind w:left="0" w:right="-1" w:firstLine="709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Источники финансирования дефицита бюджета сложились в сумме  -179429666,65 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4.4. Пояснительная записка (ф. 0503160) составлена в соответствии с требованиями пунктов 151-159 Инструкции 191н, представлена в разрезе пяти разделов, с приложением соответствующих форм и таблиц.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Раздел 1. «Организационная структура Финансового управления Администрации муниципального образования «Демидовский район» Смоленской области»».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 Разделе представлена, сведения об основных направлениях деятельности, организационная структура Финансового управления Администрации муниципального образования «Демидовский район» Смоленской области»».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i w:val="false"/>
          <w:iCs w:val="false"/>
          <w:sz w:val="28"/>
          <w:szCs w:val="28"/>
          <w:highlight w:val="white"/>
          <w:lang w:eastAsia="ar-SA"/>
        </w:rPr>
        <w:t>Также в разделе отражены сведения об организационной структуре Финансовое управление в виде таблицы 11,  в которой указан адрес нахождения учреждения, организационно-правовая форма, нормативно-правовые акты, регламентирующие деятельность финансового управления, орган осуществляющий внешний муниципальный финансовый контроль.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/>
          <w:iCs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Раздел 2. «Результаты деятельности Финансового управления Администрации муниципального образования «Демидовский район» Смоленской области»».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В разделе 2 отражена штатная численность работников, количество работников прошедших курсы повышения квалификации, балансовая стоимость имущества и характеристика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Сведения о мерах по повышению эффективности расходования бюджетных средств.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Сведения о результатах деятельности субъекта отчетности.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Раздел 3. «Анализ  отчета об исполнении бюджета Финансового управления Администрации муниципального образования «Демидовский район» Смоленской области».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Согласно представленным сведениям об исполнении бюджета (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>ф. 0503164</w:t>
      </w:r>
      <w:r>
        <w:rPr>
          <w:rFonts w:cs="Times New Roman" w:ascii="Times New Roman" w:hAnsi="Times New Roman"/>
          <w:sz w:val="28"/>
          <w:szCs w:val="28"/>
          <w:lang w:eastAsia="ar-SA"/>
        </w:rPr>
        <w:t>) утвержденные бюджтные назначения по доходам составляют  22944</w:t>
      </w:r>
      <w:r>
        <w:rPr>
          <w:rFonts w:cs="Times New Roman" w:ascii="Times New Roman" w:hAnsi="Times New Roman"/>
          <w:sz w:val="28"/>
          <w:szCs w:val="28"/>
          <w:lang w:eastAsia="ar-SA"/>
        </w:rPr>
        <w:t>4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500,00рублей исполнение составляет 100%, расходы исполнены в размере 50014798,10 рублей, что составляет 99,46% от предусмотренных бюджетных назначений. 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Показатели формы </w:t>
      </w:r>
      <w:r>
        <w:rPr>
          <w:rFonts w:cs="Times New Roman" w:ascii="Times New Roman" w:hAnsi="Times New Roman"/>
          <w:b/>
          <w:sz w:val="28"/>
          <w:szCs w:val="28"/>
        </w:rPr>
        <w:t>0503164</w:t>
      </w:r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бюджета» соответствует показателям отчета </w:t>
      </w:r>
      <w:r>
        <w:rPr>
          <w:rFonts w:cs="Times New Roman" w:ascii="Times New Roman" w:hAnsi="Times New Roman"/>
          <w:b/>
          <w:sz w:val="28"/>
          <w:szCs w:val="28"/>
        </w:rPr>
        <w:t>ф.0503127 «</w:t>
      </w:r>
      <w:r>
        <w:rPr>
          <w:rFonts w:cs="Times New Roman" w:ascii="Times New Roman" w:hAnsi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Style w:val="Style18"/>
          <w:rFonts w:cs="Times New Roman" w:ascii="Times New Roman" w:hAnsi="Times New Roman"/>
          <w:b/>
          <w:i/>
          <w:sz w:val="28"/>
          <w:szCs w:val="28"/>
        </w:rPr>
        <w:tab/>
      </w:r>
      <w:hyperlink r:id="rId9">
        <w:r>
          <w:rPr>
            <w:rStyle w:val="Style18"/>
            <w:rFonts w:cs="Times New Roman" w:ascii="Times New Roman" w:hAnsi="Times New Roman"/>
            <w:sz w:val="28"/>
            <w:szCs w:val="28"/>
          </w:rPr>
          <w:t>Таблица № 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«Сведения об исполнении текстовых статей закона (решения) о бюджете» характеризует результаты анализа исполнения текстовых статей закона (решения) о бюджете, имеющих отношение к деятельности субъекта бюджетной отчетности,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средств.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Финансовое управление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отразило  данные о результатах исполнения текстовых статей решения о бюджете 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Раздел 4. «Анализ показателей бухгалтерской отчетности Финансового управления Администрации муниципального образования «Демидовский район» Смоленской области.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Форма 0503169 «Сведения по дебиторской и кредиторской задолженности» составлена раздельно по дебиторской и по кредиторской задолженности, что соответствует п. 167 Инструкции 191н.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Дебиторская задолженность  на конец отчетного периода сложилась по  начисленным доходам будущих периодов, по межбюджетным трансфертам, поступающим из бюджетов других уровней на 2025-2027 года  в сумме 557847000,00 рублей. На долгосрочную отнесено начисление доходов  будущих периодов за 2026-2027 года в сумме 323504000,00рублей.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Кредиторская задолженность на конец отчетного периода образовалась  по услугам связи  перед ПАО «Ростелеком» за декабрь 2024г. - 6439,28 рублей. Отражен резерв  предстоящих расходов оплаты неиспользованных отпусков по состоянию на 01.01.2025 в сумме 692804,29 рублей.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Просроченная кредиторская задолженность отсутствует.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Итоговый показатель дебиторской и кредиторской задолженности ф.0503169 «Сведения по дебиторской и кредиторской задолженности» соответствует данным баланса ф.0503130. 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 xml:space="preserve">ф. 0503168 «Сведения о движении нефинансовых активов» </w:t>
      </w:r>
      <w:r>
        <w:rPr>
          <w:rFonts w:cs="Times New Roman" w:ascii="Times New Roman" w:hAnsi="Times New Roman"/>
          <w:sz w:val="28"/>
          <w:szCs w:val="28"/>
        </w:rPr>
        <w:t xml:space="preserve"> отражены данные по видам нефинансовых активов. 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Изменения стоимости нефинансовых активов на конец отчетного периода нет. За 2024год основные средства не приобретались. С забалансового счета 21 «Основные средства в эксплуатации» списаны нефинансовые активы которые не соответствуют  требованиям эксплуатации на сумму 2345,89 ( кресло компьютерное на сумму 1465,89 рублей и настольная лампа на сумму 880,00рублей). Поступление материальных запасов составило 55456,39рублей в том числе:  приобретена бумага для оргтехники 39153,39 рублей. Комплектующие и запасные части к оргтехники и оборудованию -8450,00 рублей (монитор), канцтовары-7853,00.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Выбытие материальных запасов составило-55456,39 рублей в том числе на израсходовано на нужды учреждения -55456,39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Раздел 5. «Прочие вопросы деятельности Финансового управления Администрации  муниципального образования «Демидовский район» Смоленской области</w:t>
      </w:r>
      <w:r>
        <w:rPr>
          <w:rFonts w:cs="Times New Roman" w:ascii="Times New Roman" w:hAnsi="Times New Roman"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Финансовым управлением в данном разделе пояснительной записки  отражены сведения об основных положениях учетной политики -таблица 4. В таблице 16 «Прочие вопросы деятельности субъекта бюджетной отчетности»  перечислены формы бюджетной отчетности с нулевыми значениями не требующие предоставления в соответствии с Инструкцией 191н при сдаче годовой бюджетной отчетности, отражена информация о проведении  инвентаризации.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i/>
          <w:sz w:val="28"/>
          <w:szCs w:val="28"/>
          <w:highlight w:val="yellow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5. Оценка имущественного положения</w:t>
      </w:r>
    </w:p>
    <w:p>
      <w:pPr>
        <w:pStyle w:val="Normal"/>
        <w:shd w:val="clear" w:fill="FFFFFF"/>
        <w:spacing w:before="0" w:after="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>
      <w:pPr>
        <w:pStyle w:val="Normal"/>
        <w:shd w:val="clear" w:fill="FFFFFF"/>
        <w:spacing w:lineRule="auto" w:line="240" w:before="0" w:after="200"/>
        <w:ind w:left="0" w:right="6" w:hanging="0"/>
        <w:contextualSpacing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Таблица 2,</w:t>
      </w:r>
    </w:p>
    <w:p>
      <w:pPr>
        <w:pStyle w:val="Normal"/>
        <w:spacing w:lineRule="auto" w:line="240" w:before="0" w:after="200"/>
        <w:ind w:left="0" w:right="0"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руб.</w:t>
      </w:r>
    </w:p>
    <w:tbl>
      <w:tblPr>
        <w:tblW w:w="9790" w:type="dxa"/>
        <w:jc w:val="left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</w:tblPr>
      <w:tblGrid>
        <w:gridCol w:w="1638"/>
        <w:gridCol w:w="1142"/>
        <w:gridCol w:w="1130"/>
        <w:gridCol w:w="740"/>
        <w:gridCol w:w="789"/>
        <w:gridCol w:w="1"/>
        <w:gridCol w:w="1360"/>
        <w:gridCol w:w="1250"/>
        <w:gridCol w:w="740"/>
        <w:gridCol w:w="999"/>
      </w:tblGrid>
      <w:tr>
        <w:trPr>
          <w:trHeight w:val="206" w:hRule="atLeast"/>
        </w:trPr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Показатель</w:t>
            </w:r>
          </w:p>
        </w:tc>
        <w:tc>
          <w:tcPr>
            <w:tcW w:w="38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01.01.2024</w:t>
            </w:r>
          </w:p>
        </w:tc>
        <w:tc>
          <w:tcPr>
            <w:tcW w:w="43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По состоянию на 01.01.2025</w:t>
            </w:r>
          </w:p>
        </w:tc>
      </w:tr>
      <w:tr>
        <w:trPr>
          <w:trHeight w:val="219" w:hRule="atLeast"/>
        </w:trPr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Остаточная стоимость (гр.2-гр.3)</w:t>
            </w:r>
          </w:p>
        </w:tc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Балансовая стоимость ОС</w:t>
            </w:r>
          </w:p>
        </w:tc>
        <w:tc>
          <w:tcPr>
            <w:tcW w:w="1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Амортизация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Остаточная стоимость (гр.6– р.7)</w:t>
            </w:r>
          </w:p>
        </w:tc>
      </w:tr>
      <w:tr>
        <w:trPr>
          <w:trHeight w:val="28" w:hRule="atLeast"/>
        </w:trPr>
        <w:tc>
          <w:tcPr>
            <w:tcW w:w="16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рублей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79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рублей.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%</w:t>
            </w:r>
          </w:p>
        </w:tc>
        <w:tc>
          <w:tcPr>
            <w:tcW w:w="9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Машины и оборудование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593401,94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593401,94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593401,94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9</w:t>
            </w:r>
            <w:r>
              <w:rPr>
                <w:rFonts w:cs="Times New Roman" w:ascii="Times New Roman" w:hAnsi="Times New Roman"/>
              </w:rPr>
              <w:t>3401,94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632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Производственный и хозяйственный инвентарь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111440,70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8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Основные средства, всего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100</w:t>
            </w: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704842,64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Normal"/>
        <w:spacing w:lineRule="auto" w:line="240" w:before="120" w:after="200"/>
        <w:ind w:left="0" w:righ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12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показателям, отраженным в данной таблице, следует, что балансовая стоимость основных средств Финансового управления за отчётный период не изменилась.</w:t>
      </w:r>
    </w:p>
    <w:p>
      <w:pPr>
        <w:pStyle w:val="Normal"/>
        <w:tabs>
          <w:tab w:val="left" w:pos="0" w:leader="none"/>
        </w:tabs>
        <w:spacing w:before="40" w:after="200"/>
        <w:ind w:left="0" w:right="-1" w:firstLine="426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По видам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нефинансового актива: основные средства, амортизация основных средств,  материальные запасы соответствуют остаткам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по 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  <w:u w:val="none"/>
        </w:rPr>
        <w:t>форме 0503130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i/>
          <w:sz w:val="28"/>
          <w:szCs w:val="28"/>
          <w:u w:val="none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Выводы: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внешней проверки годовой бюджетной отчетности Финансового управления, проведенной Контрольно-ревизионной комиссией установлено: 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отчет представлен в Контрольно-ревизионную комиссию, для проведения его внешней проверки и подготовки заключения в установленный срок;</w:t>
      </w:r>
    </w:p>
    <w:p>
      <w:pPr>
        <w:pStyle w:val="Normal"/>
        <w:tabs>
          <w:tab w:val="left" w:pos="709" w:leader="none"/>
          <w:tab w:val="left" w:pos="851" w:leader="none"/>
        </w:tabs>
        <w:spacing w:before="0" w:after="200"/>
        <w:ind w:left="0" w:right="-1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 соблюдены;</w:t>
      </w:r>
    </w:p>
    <w:p>
      <w:pPr>
        <w:pStyle w:val="Normal"/>
        <w:tabs>
          <w:tab w:val="left" w:pos="709" w:leader="none"/>
          <w:tab w:val="left" w:pos="851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 фактов, способных негативно повлиять на достоверность бюджетной отчетности, не установлено.  </w:t>
      </w:r>
    </w:p>
    <w:p>
      <w:pPr>
        <w:pStyle w:val="Normal"/>
        <w:spacing w:before="0" w:after="200"/>
        <w:ind w:left="2832" w:right="0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ind w:left="0" w:righ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Инспектор Контрольно-ревизионной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комиссии муниципального образования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«Демидовский муниципальный округ» 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Смоленской области                                                                     Т.В. Захаревская</w:t>
      </w:r>
    </w:p>
    <w:p>
      <w:pPr>
        <w:pStyle w:val="Normal"/>
        <w:spacing w:before="0" w:after="200"/>
        <w:ind w:left="0" w:righ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19.03.2025 </w:t>
      </w:r>
    </w:p>
    <w:sectPr>
      <w:type w:val="nextPage"/>
      <w:pgSz w:w="11906" w:h="16838"/>
      <w:pgMar w:left="1134" w:right="562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Segoe UI" w:cs="Tahoma"/>
      <w:b/>
      <w:bCs/>
      <w:color w:val="365F91"/>
      <w:sz w:val="28"/>
      <w:szCs w:val="28"/>
    </w:rPr>
  </w:style>
  <w:style w:type="paragraph" w:styleId="2">
    <w:name w:val="Heading 2"/>
    <w:basedOn w:val="Normal"/>
    <w:qFormat/>
    <w:pPr>
      <w:keepNext w:val="true"/>
      <w:keepLines/>
      <w:spacing w:lineRule="auto" w:line="240" w:before="200" w:after="0"/>
      <w:outlineLvl w:val="1"/>
    </w:pPr>
    <w:rPr>
      <w:rFonts w:ascii="Cambria" w:hAnsi="Cambria" w:eastAsia="Segoe UI" w:cs="Tahoma"/>
      <w:b/>
      <w:bCs/>
      <w:color w:val="4F81BD"/>
      <w:sz w:val="26"/>
      <w:szCs w:val="26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rFonts w:ascii="Cambria" w:hAnsi="Cambria" w:eastAsia="Segoe UI" w:cs="Tahoma"/>
      <w:b/>
      <w:bCs/>
      <w:color w:val="4F81BD"/>
      <w:sz w:val="26"/>
      <w:szCs w:val="26"/>
      <w:lang w:eastAsia="ru-RU"/>
    </w:rPr>
  </w:style>
  <w:style w:type="character" w:styleId="Style12">
    <w:name w:val="Верхний колонтитул Знак"/>
    <w:basedOn w:val="DefaultParagraphFont"/>
    <w:qFormat/>
    <w:rPr/>
  </w:style>
  <w:style w:type="character" w:styleId="Style13">
    <w:name w:val="Основной текст_"/>
    <w:qFormat/>
    <w:rPr>
      <w:sz w:val="26"/>
      <w:szCs w:val="26"/>
      <w:highlight w:val="white"/>
    </w:rPr>
  </w:style>
  <w:style w:type="character" w:styleId="Style14">
    <w:name w:val="Основной текст + Курсив"/>
    <w:qFormat/>
    <w:rPr>
      <w:i/>
      <w:iCs/>
      <w:color w:val="000000"/>
      <w:spacing w:val="0"/>
      <w:w w:val="100"/>
      <w:sz w:val="26"/>
      <w:szCs w:val="26"/>
      <w:highlight w:val="white"/>
      <w:lang w:val="ru-RU"/>
    </w:rPr>
  </w:style>
  <w:style w:type="character" w:styleId="Style15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7">
    <w:name w:val="Гипертекстовая ссылка"/>
    <w:qFormat/>
    <w:rPr>
      <w:color w:val="106BBE"/>
    </w:rPr>
  </w:style>
  <w:style w:type="character" w:styleId="11">
    <w:name w:val="Заголовок 1 Знак"/>
    <w:basedOn w:val="DefaultParagraphFont"/>
    <w:qFormat/>
    <w:rPr>
      <w:rFonts w:ascii="Cambria" w:hAnsi="Cambria" w:eastAsia="Segoe UI" w:cs="Tahoma"/>
      <w:b/>
      <w:bCs/>
      <w:color w:val="365F91"/>
      <w:sz w:val="28"/>
      <w:szCs w:val="28"/>
    </w:rPr>
  </w:style>
  <w:style w:type="character" w:styleId="HTML">
    <w:name w:val="Стандартный HTML Знак"/>
    <w:basedOn w:val="DefaultParagraphFont"/>
    <w:qFormat/>
    <w:rPr>
      <w:rFonts w:ascii="Courier New" w:hAnsi="Courier New" w:eastAsia="Times New Roman" w:cs="Courier New"/>
      <w:sz w:val="20"/>
      <w:szCs w:val="20"/>
    </w:rPr>
  </w:style>
  <w:style w:type="character" w:styleId="12">
    <w:name w:val="Основной текст Знак1"/>
    <w:basedOn w:val="DefaultParagraphFont"/>
    <w:qFormat/>
    <w:rPr>
      <w:rFonts w:ascii="Calibri" w:hAnsi="Calibri" w:cs="Calibri"/>
      <w:sz w:val="28"/>
      <w:szCs w:val="28"/>
      <w:u w:val="none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cs="Symbol"/>
      <w:sz w:val="28"/>
      <w:szCs w:val="2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  <w:sz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ascii="Times New Roman" w:hAnsi="Times New Roman" w:cs="Symbol"/>
      <w:sz w:val="28"/>
      <w:szCs w:val="2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cs="Symbol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Symbol"/>
      <w:b w:val="false"/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b w:val="false"/>
      <w:sz w:val="28"/>
      <w:szCs w:val="28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  <w:sz w:val="2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Symbol"/>
      <w:b w:val="false"/>
      <w:sz w:val="28"/>
      <w:szCs w:val="28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  <w:sz w:val="28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Style19">
    <w:name w:val="Символ нумерации"/>
    <w:qFormat/>
    <w:rPr/>
  </w:style>
  <w:style w:type="character" w:styleId="ListLabel123">
    <w:name w:val="ListLabel 123"/>
    <w:qFormat/>
    <w:rPr>
      <w:rFonts w:cs="Symbol"/>
      <w:b w:val="false"/>
      <w:sz w:val="28"/>
      <w:szCs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  <w:sz w:val="28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">
    <w:name w:val="Основной текст5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sz w:val="26"/>
      <w:szCs w:val="26"/>
    </w:rPr>
  </w:style>
  <w:style w:type="paragraph" w:styleId="31">
    <w:name w:val="Основной текст с отступом 31"/>
    <w:basedOn w:val="Normal"/>
    <w:qFormat/>
    <w:pPr>
      <w:suppressAutoHyphens w:val="true"/>
      <w:spacing w:lineRule="auto" w:line="360" w:before="0" w:after="0"/>
      <w:ind w:left="0" w:right="0"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211">
    <w:name w:val="Основной текст с отступом 21"/>
    <w:basedOn w:val="Normal"/>
    <w:qFormat/>
    <w:pPr>
      <w:suppressAutoHyphens w:val="true"/>
      <w:overflowPunct w:val="false"/>
      <w:spacing w:lineRule="auto" w:line="240" w:before="0" w:after="0"/>
      <w:ind w:left="0" w:right="0"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Прижатый влево"/>
    <w:basedOn w:val="Normal"/>
    <w:qFormat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Style27">
    <w:name w:val="Нормальный (таблица)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32">
    <w:name w:val="Основной текст с отступом 32"/>
    <w:basedOn w:val="Normal"/>
    <w:qFormat/>
    <w:pPr>
      <w:suppressAutoHyphens w:val="true"/>
      <w:spacing w:lineRule="auto" w:line="360" w:before="0" w:after="0"/>
      <w:ind w:left="0" w:right="0" w:firstLine="680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8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06E36B8106D5E5E8D638C57FCBE1C09E9EB8C4AD3125EDB72F1659552571F598C8E096EAF5917279D5C3BE51A29F665B57929D7B603C838BFcDL" TargetMode="External"/><Relationship Id="rId3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4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5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6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7" Type="http://schemas.openxmlformats.org/officeDocument/2006/relationships/hyperlink" Target="consultantplus://offline/ref=DD892A017D285379F0E1081C226FDA4D6D4627A6E3C0639038FEBBD3B501F17BEB34E4DD3D62F77A5F520F708FD60D64EE361B996EC5C4973ByDH" TargetMode="External"/><Relationship Id="rId8" Type="http://schemas.openxmlformats.org/officeDocument/2006/relationships/hyperlink" Target="consultantplus://offline/ref=4D3E4340C9F8CA35CDF7DD1E5554896A82239A8A9DC8295D3483484C9E6FE7F09D5655C4200EF29EE50906B3352F08CF1C7A340C40CCB8C0uBy8L" TargetMode="External"/><Relationship Id="rId9" Type="http://schemas.openxmlformats.org/officeDocument/2006/relationships/hyperlink" Target="consultantplus://offline/ref=493B3F60E031880F648A276873EEF65A94EADDFA3F873BA8ED07A0CFE5C99181037A0CC0B704264B21934CAFF78C455D27D8340177353CEBfBsBG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LibreOffice/5.3.6.1$Windows_x86 LibreOffice_project/686f202eff87ef707079aeb7f485847613344eb7</Application>
  <Pages>9</Pages>
  <Words>2190</Words>
  <Characters>16999</Characters>
  <CharactersWithSpaces>19262</CharactersWithSpaces>
  <Paragraphs>184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2024-02-14T09:58:00Z</dcterms:created>
  <dc:creator>Shet_palata</dc:creator>
  <dc:description/>
  <dc:language>ru-RU</dc:language>
  <cp:lastModifiedBy/>
  <cp:lastPrinted>2025-03-26T09:10:10Z</cp:lastPrinted>
  <dcterms:modified xsi:type="dcterms:W3CDTF">2025-03-26T09:10:48Z</dcterms:modified>
  <cp:revision>59</cp:revision>
  <dc:subject/>
  <dc:title>Приказ Минфина России от 28.12.2010 N 191н
(ред. от 07.11.2023)
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
(Зарегистрировано в Минюсте России 03.02.2011 N 19693)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