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08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</w:t>
      </w:r>
    </w:p>
    <w:p>
      <w:pPr>
        <w:pStyle w:val="Normal"/>
        <w:ind w:right="-1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по результатам внешней проверки годовой бюджетной отчетности главного распорядителя бюджетных средств   Демидовского районного Совета  депутатов Смоленской области за 2023 год</w:t>
      </w:r>
    </w:p>
    <w:p>
      <w:pPr>
        <w:pStyle w:val="Normal"/>
        <w:spacing w:before="0" w:after="200"/>
        <w:ind w:firstLine="56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Общие положения.</w:t>
      </w:r>
    </w:p>
    <w:p>
      <w:pPr>
        <w:pStyle w:val="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Основание для проведения проверки: </w:t>
      </w:r>
      <w:r>
        <w:rPr>
          <w:rFonts w:cs="Times New Roman" w:ascii="Times New Roman" w:hAnsi="Times New Roman"/>
          <w:sz w:val="28"/>
          <w:szCs w:val="28"/>
        </w:rPr>
        <w:t>статья 264.4 Бюджетного кодекса Российской Федерации, пп3 п3.1 раздела 3 Положения о Контрольно-ревизионной комиссии муниципального образования «Демидовский район» Смоленской области, утвержденное решением Демидовского районного  Совета депутатов от 16.09.2021 № 77/11, п. 2 раздела 1 плана работы Контрольно-ревизионной комиссии на 2024 год.</w:t>
      </w:r>
    </w:p>
    <w:p>
      <w:pPr>
        <w:pStyle w:val="Normal"/>
        <w:spacing w:before="0" w:after="20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Цель проверки: </w:t>
      </w:r>
    </w:p>
    <w:p>
      <w:pPr>
        <w:pStyle w:val="Normal"/>
        <w:spacing w:lineRule="auto" w:line="240" w:before="0"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установление полноты и прозрачности бюджетной отчетности главного распорядителя и ее соответствие требованиям нормативных правовых актов; </w:t>
      </w:r>
    </w:p>
    <w:p>
      <w:pPr>
        <w:pStyle w:val="Normal"/>
        <w:spacing w:lineRule="auto" w:line="240" w:before="0"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оценка достоверности показателей бюджетной отчётности главного распорядителя бюджетных средств, внутренней согласованности соответствующих форм отчётности, соблюдение контрольных соотношений. </w:t>
      </w:r>
    </w:p>
    <w:p>
      <w:pPr>
        <w:pStyle w:val="Style20"/>
        <w:widowControl w:val="false"/>
        <w:spacing w:before="0" w:after="0"/>
        <w:ind w:firstLine="709"/>
        <w:contextualSpacing/>
        <w:jc w:val="both"/>
        <w:rPr/>
      </w:pPr>
      <w:r>
        <w:rPr>
          <w:sz w:val="28"/>
          <w:szCs w:val="28"/>
          <w:u w:val="single"/>
        </w:rPr>
        <w:t>Объект проверки:</w:t>
      </w:r>
      <w:r>
        <w:rPr>
          <w:sz w:val="28"/>
          <w:szCs w:val="28"/>
        </w:rPr>
        <w:t xml:space="preserve">  Демидовский районный Совет депутатов</w:t>
      </w:r>
      <w:r>
        <w:rPr>
          <w:rFonts w:cs="Times New Roman"/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(далее – совет депутатов). </w:t>
      </w:r>
    </w:p>
    <w:p>
      <w:pPr>
        <w:pStyle w:val="Normal"/>
        <w:spacing w:lineRule="auto" w:line="240" w:before="0" w:after="0"/>
        <w:ind w:right="-567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Предмет проверки</w:t>
      </w:r>
      <w:r>
        <w:rPr>
          <w:rFonts w:cs="Times New Roman" w:ascii="Times New Roman" w:hAnsi="Times New Roman"/>
          <w:sz w:val="28"/>
          <w:szCs w:val="28"/>
        </w:rPr>
        <w:t>:  годовая бюджетная отчётность за 2023 год.</w:t>
      </w:r>
    </w:p>
    <w:p>
      <w:pPr>
        <w:pStyle w:val="Normal"/>
        <w:tabs>
          <w:tab w:val="left" w:pos="567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Ответственный исполнитель</w:t>
      </w:r>
      <w:r>
        <w:rPr>
          <w:rFonts w:cs="Times New Roman" w:ascii="Times New Roman" w:hAnsi="Times New Roman"/>
          <w:sz w:val="28"/>
          <w:szCs w:val="28"/>
        </w:rPr>
        <w:t>: председатель Контрольно-ревизионной комиссии муниципального образования «Демидовский район» Смоленской  области – Терещенкова Т.В.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Ответственными должностными лицами и распорядителями средств   районного бюджета в проверяемом периоде являлись:</w:t>
      </w:r>
      <w:r>
        <w:rPr>
          <w:rFonts w:cs="Times New Roman" w:ascii="Times New Roman" w:hAnsi="Times New Roman"/>
          <w:sz w:val="28"/>
          <w:szCs w:val="28"/>
        </w:rPr>
        <w:t xml:space="preserve"> Председатель Демидовского районного Совета депутатов Смоленской области –Козлов В.П., </w:t>
      </w:r>
      <w:r>
        <w:rPr>
          <w:rFonts w:eastAsia="Times New Roman" w:cs="Times New Roman" w:ascii="Times New Roman" w:hAnsi="Times New Roman"/>
          <w:sz w:val="28"/>
          <w:szCs w:val="28"/>
        </w:rPr>
        <w:t>старший инспектор Щелкунова М.А.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Срок проведения проверки</w:t>
      </w:r>
      <w:r>
        <w:rPr>
          <w:rFonts w:cs="Times New Roman" w:ascii="Times New Roman" w:hAnsi="Times New Roman"/>
          <w:sz w:val="28"/>
          <w:szCs w:val="28"/>
        </w:rPr>
        <w:t>: с 11 марта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2024 года по 13 марта 2024 года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Внешняя проверка годовой бюджетной отчетности главного распорядителя средств районного бюджета проводилась камеральным методом.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before="0" w:after="200"/>
        <w:ind w:left="765" w:hanging="0"/>
        <w:contextualSpacing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2. Общая характеристика организационной структуры Демидовского районного Совета депутатов Смоленской области 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Демидовский районный Совет депутатов Смоленской области  является представительным  органом местного самоуправления муниципального образования «Демидовский район» Смоленской области. 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" w:cs="Times New Roman" w:ascii="Times New Roman" w:hAnsi="Times New Roman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Обладает правами юридического лица, имеет лицевые счета в финансовом управлении Администрации муниципального образования «Демидовский район» Смоленской области, самостоятельный баланс, печать, бланки, штампы.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Бухгалтерский учет осуществляется с использованием программного продукта «1С: Предприятие, Бухгалтерия государственного учреждения, версия 8.3». </w:t>
      </w:r>
    </w:p>
    <w:p>
      <w:pPr>
        <w:pStyle w:val="31"/>
        <w:spacing w:lineRule="auto" w:line="276"/>
        <w:ind w:firstLine="709"/>
        <w:rPr/>
      </w:pPr>
      <w:r>
        <w:rPr>
          <w:szCs w:val="28"/>
          <w:highlight w:val="white"/>
        </w:rPr>
        <w:t>В</w:t>
      </w:r>
      <w:r>
        <w:rPr>
          <w:rFonts w:eastAsia="" w:cs="" w:cstheme="minorBidi" w:eastAsiaTheme="minorEastAsia"/>
          <w:szCs w:val="28"/>
          <w:highlight w:val="white"/>
        </w:rPr>
        <w:t xml:space="preserve"> соответствии с Приложением № 12 «Ведомственная структура расходов местного бюджета на 2023 год и плановый период 2024 и 2025 годов», утвержденным   решением Демидовского  районного Совета депутатов </w:t>
      </w:r>
      <w:r>
        <w:rPr>
          <w:rFonts w:eastAsia="" w:cs="Times New Roman" w:eastAsiaTheme="minorEastAsia"/>
          <w:sz w:val="28"/>
          <w:szCs w:val="28"/>
          <w:highlight w:val="white"/>
        </w:rPr>
        <w:t xml:space="preserve"> от 27.12.2022 года №110/10  «О бюджете муниципального образования «Демидовский район» Смоленской области  на 2023 год и на плановый период 2024 и 2025 годов»</w:t>
      </w:r>
      <w:r>
        <w:rPr>
          <w:rFonts w:eastAsia="" w:cs="" w:cstheme="minorBidi" w:eastAsiaTheme="minorEastAsia"/>
          <w:szCs w:val="28"/>
          <w:highlight w:val="white"/>
        </w:rPr>
        <w:t xml:space="preserve">, Демидовский районный Совет депутатов Смоленской области является главным распорядителем бюджетных средств, с кодом 950, что  соответствует ст. 6 Бюджетного кодекса Российской Федерации. </w:t>
      </w:r>
    </w:p>
    <w:p>
      <w:pPr>
        <w:pStyle w:val="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данными Пояснительной записки ф. 0503160 на 01.01.2024 года п</w:t>
      </w:r>
      <w:r>
        <w:rPr>
          <w:rFonts w:eastAsia="" w:cs="Times New Roman" w:ascii="Times New Roman" w:hAnsi="Times New Roman"/>
          <w:sz w:val="28"/>
          <w:szCs w:val="28"/>
          <w:highlight w:val="white"/>
          <w:shd w:fill="FFFFFF" w:val="clear"/>
        </w:rPr>
        <w:t xml:space="preserve">одведомственных учреждений нет. </w:t>
      </w:r>
      <w:r>
        <w:rPr>
          <w:rFonts w:eastAsia="" w:cs="Times New Roman" w:ascii="Times New Roman" w:hAnsi="Times New Roman"/>
          <w:sz w:val="26"/>
          <w:szCs w:val="26"/>
          <w:highlight w:val="white"/>
          <w:shd w:fill="FFFFFF" w:val="clear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Изменений и реорганизаций в структуре совета депутатов  в 2023 году не происходило. 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widowControl w:val="false"/>
        <w:suppressAutoHyphens w:val="true"/>
        <w:spacing w:before="0" w:after="200"/>
        <w:ind w:left="360" w:hanging="0"/>
        <w:contextualSpacing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  <w:lang w:eastAsia="ar-SA"/>
        </w:rPr>
        <w:t>3. Анализ составления и представления отчетности по составу, содержанию, прозрачности и информативности показателей.</w:t>
      </w:r>
    </w:p>
    <w:p>
      <w:pPr>
        <w:pStyle w:val="Normal"/>
        <w:widowControl w:val="false"/>
        <w:suppressAutoHyphens w:val="true"/>
        <w:spacing w:before="0" w:after="200"/>
        <w:ind w:left="36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Бюджетная отчетность за 2023 год представлена советом депутатов в Контрольно-ревизионную комиссию без нарушения сроков, установленных Положением о бюджетном процессе в муниципальном образовании «Демидовский район» Смоленской области. 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Бюджетная отчетность главного распорядителя бюджетных средств сформирована в объеме форм, предусмотренных пунктом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от 28 декабря 2010 г №191н (далее Инструкция 191н) и состоит из: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баланса главного распорядителя, распорядителя, получателя бюджетных средств, главного администратора, администратора доходов бюджета (ф.0503130);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справки по заключению счетов бюджетного учёта отчётного финансового года (ф. 0503110);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 принятых бюджетных обязательствах (ф. 0503128);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 финансовых результатах деятельности (ф. 0503121);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отчета о движении денежных средств (ф. 0503123)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-Справка по консолидируемым расчет</w:t>
      </w: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 xml:space="preserve">ам </w:t>
      </w:r>
      <w:hyperlink r:id="rId2">
        <w:r>
          <w:rPr>
            <w:rStyle w:val="Style18"/>
            <w:rFonts w:cs="Times New Roman" w:ascii="Times New Roman" w:hAnsi="Times New Roman"/>
            <w:color w:val="000000"/>
            <w:sz w:val="28"/>
            <w:szCs w:val="28"/>
          </w:rPr>
          <w:t>(ф. 0503125)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>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пояснительной записки, в состав которой входят: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>
          <w:sz w:val="28"/>
          <w:szCs w:val="28"/>
          <w:lang w:eastAsia="ar-SA"/>
        </w:rPr>
        <w:t xml:space="preserve">Таблица №3 «Сведения об исполнении текстовых статей закона (решения) о бюджете»; 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Таблица №4 </w:t>
      </w:r>
      <w:r>
        <w:rPr>
          <w:rFonts w:eastAsia="Calibri" w:eastAsiaTheme="minorHAnsi"/>
          <w:sz w:val="28"/>
          <w:szCs w:val="28"/>
          <w:lang w:eastAsia="en-US"/>
        </w:rPr>
        <w:t>«Сведения об основных положениях учетной политики»;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tLeast" w:line="11" w:before="0" w:after="200"/>
        <w:ind w:left="624" w:right="0" w:hanging="113"/>
        <w:jc w:val="both"/>
        <w:rPr/>
      </w:pP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 xml:space="preserve">Таблица N 11 </w:t>
      </w: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Сведения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об организационной структуре субъекта бюджетной отчетности;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tLeast" w:line="11" w:before="0" w:after="200"/>
        <w:ind w:left="737" w:right="0"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Таблица N 12 Сведения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 результатах деятельности субъекта бюджетной отчетности 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tLeast" w:line="11" w:before="0" w:after="200"/>
        <w:ind w:left="737" w:righ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Таблица №16 Прочие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вопросы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деятельности субъекта бюджетной отчетности;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ind w:left="0" w:firstLine="709"/>
        <w:jc w:val="both"/>
        <w:rPr/>
      </w:pPr>
      <w:r>
        <w:rPr>
          <w:sz w:val="28"/>
          <w:szCs w:val="28"/>
          <w:lang w:eastAsia="ar-SA"/>
        </w:rPr>
        <w:t>Сведения об исполнении бюджета (ф. 0503164);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Сведения о движении нефинансовых активов (ф. 0503168);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ind w:left="0" w:firstLine="709"/>
        <w:jc w:val="both"/>
        <w:rPr/>
      </w:pPr>
      <w:r>
        <w:rPr>
          <w:sz w:val="28"/>
          <w:szCs w:val="28"/>
          <w:lang w:eastAsia="ar-SA"/>
        </w:rPr>
        <w:t>Сведения по дебиторской и кредиторской задолженности (ф. 0503169);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принятых и неисполненных обязательствах получателя бюджетных средств (ф. 0503175);</w:t>
      </w:r>
    </w:p>
    <w:p>
      <w:pPr>
        <w:pStyle w:val="ListParagraph"/>
        <w:numPr>
          <w:ilvl w:val="0"/>
          <w:numId w:val="0"/>
        </w:numPr>
        <w:suppressAutoHyphens w:val="true"/>
        <w:bidi w:val="0"/>
        <w:spacing w:lineRule="auto" w:line="240"/>
        <w:ind w:left="2208" w:hanging="0"/>
        <w:jc w:val="both"/>
        <w:rPr>
          <w:rFonts w:ascii="Times New Roman" w:hAnsi="Times New Roman" w:eastAsia="" w:cs="" w:cstheme="minorBidi" w:eastAsiaTheme="minorEastAsia"/>
          <w:highlight w:val="white"/>
        </w:rPr>
      </w:pPr>
      <w:r>
        <w:rPr>
          <w:rFonts w:eastAsia="" w:cs="" w:cstheme="minorBidi" w:eastAsiaTheme="minorEastAsia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ar-SA"/>
        </w:rPr>
        <w:t>Согласно пункту 152 Инструкции 191н раздел 5 Пояснительной записки (ф. 0503160) «Прочие вопросы деятельности субъекта бюджетной отчетности» включает перечень форм отчетности, не включенных в состав бюджетной отчетности за отчетный период в виду отсутствия числовых значений показателей. В связи с этим не представлены следующие формы бюджетной отчетности: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ind w:left="0" w:firstLine="709"/>
        <w:jc w:val="both"/>
        <w:rPr/>
      </w:pPr>
      <w:r>
        <w:rPr>
          <w:rFonts w:cs="Times New Roman"/>
          <w:sz w:val="28"/>
          <w:szCs w:val="28"/>
          <w:lang w:eastAsia="ar-SA"/>
        </w:rPr>
        <w:t>Таблица №1 «Сведения о направлениях деятельности»;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jc w:val="both"/>
        <w:rPr/>
      </w:pPr>
      <w:r>
        <w:rPr/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>Таблица № 6 «Сведения о проведении инвентаризации»;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tLeast" w:line="11" w:before="0" w:after="0"/>
        <w:jc w:val="both"/>
        <w:rPr/>
      </w:pP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sz w:val="28"/>
          <w:szCs w:val="28"/>
          <w:u w:val="none"/>
          <w:lang w:eastAsia="en-US"/>
        </w:rPr>
        <w:t xml:space="preserve"> </w:t>
      </w: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sz w:val="28"/>
          <w:szCs w:val="28"/>
          <w:u w:val="none"/>
          <w:lang w:eastAsia="en-US"/>
        </w:rPr>
        <w:t xml:space="preserve">Таблица №13 Анализ </w:t>
      </w: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отчета</w:t>
      </w: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sz w:val="28"/>
          <w:szCs w:val="28"/>
          <w:u w:val="none"/>
          <w:lang w:eastAsia="en-US"/>
        </w:rPr>
        <w:t xml:space="preserve"> об исполнении бюджета субъектом бюджетной отчетности;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Таблица №14 Анализ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показателей отчетности субъекта бюджетной отчетности;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uto" w:line="240" w:before="0" w:after="200"/>
        <w:jc w:val="both"/>
        <w:rPr/>
      </w:pP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 xml:space="preserve"> </w:t>
      </w: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Таблица №15 Причины увеличения просроченной задолженности;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об исполнении мероприятий в рамках целевых программ</w:t>
      </w:r>
      <w:r>
        <w:rPr>
          <w:color w:val="000000"/>
          <w:sz w:val="28"/>
          <w:szCs w:val="28"/>
        </w:rPr>
        <w:t xml:space="preserve"> </w:t>
      </w:r>
      <w:hyperlink r:id="rId3">
        <w:r>
          <w:rPr>
            <w:rStyle w:val="Style18"/>
            <w:color w:val="000000"/>
            <w:sz w:val="28"/>
            <w:szCs w:val="28"/>
          </w:rPr>
          <w:t>(ф. 0503166)</w:t>
        </w:r>
      </w:hyperlink>
      <w:r>
        <w:rPr>
          <w:color w:val="000000"/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ind w:left="0"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«Сведения о целевых иностранных кредитах»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(</w:t>
      </w:r>
      <w:hyperlink r:id="rId4">
        <w:r>
          <w:rPr>
            <w:rStyle w:val="Style18"/>
            <w:rFonts w:eastAsia="Calibri" w:eastAsiaTheme="minorHAnsi"/>
            <w:color w:val="000000"/>
            <w:sz w:val="28"/>
            <w:szCs w:val="28"/>
            <w:lang w:eastAsia="en-US"/>
          </w:rPr>
          <w:t>ф. 0503167</w:t>
        </w:r>
      </w:hyperlink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ind w:left="0" w:firstLine="709"/>
        <w:jc w:val="both"/>
        <w:rPr/>
      </w:pPr>
      <w:r>
        <w:rPr>
          <w:sz w:val="28"/>
          <w:szCs w:val="28"/>
        </w:rPr>
        <w:t>«Сведения о движении нефинансовых активов (по имуществу казны) форма 0503168.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государственном муниципальном долге (форма 0503172)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об изменении остатков валюты баланса (ф. 0503173).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доходах бюджета от перечисления части прибыли (дивидентов) государственных (муниципальных) унитарных предприятий, иных организаций с государственным участием в капитале» (форма 0503174)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>
          <w:sz w:val="28"/>
          <w:szCs w:val="28"/>
          <w:lang w:eastAsia="ar-SA"/>
        </w:rPr>
        <w:t>Сведения об остатках денежных средств на счетах получателя бюджетных средств  (ф. 0503178);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jc w:val="both"/>
        <w:rPr/>
      </w:pPr>
      <w:r>
        <w:rPr>
          <w:rFonts w:eastAsia="" w:cs="" w:cstheme="minorBidi" w:eastAsiaTheme="minorEastAsia"/>
          <w:sz w:val="28"/>
          <w:szCs w:val="28"/>
          <w:highlight w:val="white"/>
          <w:lang w:eastAsia="ar-SA"/>
        </w:rPr>
        <w:t>Сведения о вложениях в объекты недвижимого имущества, объектах незавершенного строительства (ф. 0503190).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>
          <w:highlight w:val="white"/>
        </w:rPr>
      </w:pPr>
      <w:r>
        <w:rPr>
          <w:sz w:val="28"/>
          <w:szCs w:val="28"/>
          <w:lang w:eastAsia="ar-SA"/>
        </w:rPr>
        <w:t>Сведения об исполнении судебных решений по денежным обязательствам бюджета (ф 0503296)</w:t>
      </w:r>
    </w:p>
    <w:p>
      <w:pPr>
        <w:pStyle w:val="1"/>
        <w:shd w:val="clear" w:color="auto" w:fill="FFFFFF"/>
        <w:spacing w:lineRule="atLeast" w:line="193" w:before="0" w:after="200"/>
        <w:ind w:firstLine="709"/>
        <w:jc w:val="both"/>
        <w:rPr/>
      </w:pPr>
      <w:r>
        <w:rPr>
          <w:rFonts w:cs="Times New Roman" w:ascii="Times New Roman" w:hAnsi="Times New Roman"/>
          <w:b w:val="false"/>
          <w:color w:val="00000A"/>
          <w:highlight w:val="white"/>
        </w:rPr>
        <w:t xml:space="preserve">Бюджетная отчетность представлена в соответствии с п.4 </w:t>
      </w:r>
      <w:r>
        <w:rPr>
          <w:rFonts w:cs="Times New Roman" w:ascii="Times New Roman" w:hAnsi="Times New Roman"/>
          <w:b w:val="false"/>
          <w:color w:val="00000A"/>
          <w:highlight w:val="white"/>
          <w:lang w:eastAsia="ar-SA"/>
        </w:rPr>
        <w:t xml:space="preserve">Инструкции № 191н </w:t>
      </w:r>
      <w:r>
        <w:rPr>
          <w:rFonts w:cs="Times New Roman" w:ascii="Times New Roman" w:hAnsi="Times New Roman"/>
          <w:b w:val="false"/>
          <w:color w:val="00000A"/>
          <w:highlight w:val="white"/>
        </w:rPr>
        <w:t>на бумажном носителе, в сброшюрованном и пронумерованном виде с оглавлением и сопроводительным письмом.</w:t>
      </w:r>
      <w:r>
        <w:rPr>
          <w:rFonts w:cs="Times New Roman" w:ascii="Times New Roman" w:hAnsi="Times New Roman"/>
          <w:b w:val="false"/>
          <w:color w:val="00000A"/>
          <w:highlight w:val="white"/>
          <w:lang w:eastAsia="ar-SA"/>
        </w:rPr>
        <w:t xml:space="preserve"> </w:t>
      </w:r>
    </w:p>
    <w:p>
      <w:pPr>
        <w:pStyle w:val="Normal"/>
        <w:shd w:val="clear" w:color="auto" w:fill="FFFFFF"/>
        <w:spacing w:lineRule="atLeast" w:line="193"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color w:val="00000A"/>
          <w:sz w:val="28"/>
          <w:szCs w:val="28"/>
          <w:highlight w:val="white"/>
          <w:lang w:eastAsia="ar-SA"/>
        </w:rPr>
        <w:t xml:space="preserve">Перед составлением годовой бюджетной отчетности проведена инвентаризация активов, в соответствии с Федеральным Законом №402 от 06.12.2011 (в редакции от 12.12.2023) «О бухгалтерском учете», с Приказом Минфина РФ от 13.06.1995 № 49 «Об утверждении Методических указаний по инвентаризации имущества и финансовых обязательств», </w:t>
      </w:r>
      <w:bookmarkStart w:id="0" w:name="__DdeLink__998_32300561071"/>
      <w:r>
        <w:rPr>
          <w:rStyle w:val="12"/>
          <w:rFonts w:cs="Times New Roman" w:ascii="Times New Roman" w:hAnsi="Times New Roman"/>
          <w:b w:val="false"/>
          <w:color w:val="000000"/>
          <w:highlight w:val="white"/>
          <w:lang w:eastAsia="ar-SA"/>
        </w:rPr>
        <w:t>Федеральным стандартом бухгалтерского учета «Концептуальные основы бухгалтерского учета и отчетности организаций государственного сектора»</w:t>
      </w:r>
      <w:bookmarkEnd w:id="0"/>
      <w:r>
        <w:rPr>
          <w:rStyle w:val="12"/>
          <w:rFonts w:cs="Times New Roman" w:ascii="Times New Roman" w:hAnsi="Times New Roman"/>
          <w:b w:val="false"/>
          <w:color w:val="000000"/>
          <w:highlight w:val="white"/>
          <w:lang w:eastAsia="ar-SA"/>
        </w:rPr>
        <w:t xml:space="preserve"> 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  <w:highlight w:val="white"/>
          <w:lang w:eastAsia="ar-SA"/>
        </w:rPr>
        <w:t xml:space="preserve">и п.7 Инструкции 191н, </w:t>
      </w:r>
      <w:r>
        <w:rPr>
          <w:rFonts w:eastAsia="" w:cs="Times New Roman" w:ascii="Times New Roman" w:hAnsi="Times New Roman" w:eastAsiaTheme="minorEastAsia"/>
          <w:b w:val="false"/>
          <w:color w:val="00000A"/>
          <w:sz w:val="28"/>
          <w:szCs w:val="28"/>
          <w:highlight w:val="white"/>
          <w:lang w:eastAsia="ar-SA"/>
        </w:rPr>
        <w:t>а так же в соответствии с распоряжением   № 12-р от 30.09.2023.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  <w:highlight w:val="white"/>
          <w:lang w:eastAsia="ar-SA"/>
        </w:rPr>
        <w:t xml:space="preserve">  Расхождений с данными бухгалтерского учета не установлено.</w:t>
      </w:r>
    </w:p>
    <w:p>
      <w:pPr>
        <w:pStyle w:val="Normal"/>
        <w:suppressAutoHyphens w:val="true"/>
        <w:spacing w:before="0" w:after="0"/>
        <w:ind w:right="-1" w:firstLine="709"/>
        <w:contextualSpacing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  <w:lang w:eastAsia="ar-SA"/>
        </w:rPr>
        <w:t>Формы представленной бюджетной отчетности подписаны руководителем (председателем Демидовского районного совета депутатов )  и главным бухгалтером (старшим инспектором)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. </w:t>
      </w:r>
    </w:p>
    <w:p>
      <w:pPr>
        <w:pStyle w:val="Normal"/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Отчетность составлена нарастающим итогом с начала года в рублях, с точностью до второго десятичного знака после запятой, что соответствует требованиям, предъявляемым п.9 Инструкции №191н. </w:t>
      </w:r>
    </w:p>
    <w:p>
      <w:pPr>
        <w:pStyle w:val="Normal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left" w:pos="0" w:leader="none"/>
        </w:tabs>
        <w:spacing w:before="0" w:after="200"/>
        <w:ind w:left="36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4. Анализ показателей годовой отчётности.</w:t>
      </w:r>
    </w:p>
    <w:p>
      <w:pPr>
        <w:pStyle w:val="Normal"/>
        <w:tabs>
          <w:tab w:val="left" w:pos="0" w:leader="none"/>
        </w:tabs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4.1. Данные о финансовых результатах деятельности по состоянию на 01.01.2024 г. в разрезе доходов в общей сумме 0,0 рублей, расходов в общей сумме  2392638,05 рубля отражены </w:t>
      </w:r>
      <w:r>
        <w:rPr>
          <w:rStyle w:val="Style14"/>
          <w:rFonts w:cs="Times New Roman" w:ascii="Times New Roman" w:hAnsi="Times New Roman"/>
          <w:sz w:val="28"/>
          <w:szCs w:val="28"/>
        </w:rPr>
        <w:t>в Отчете о финансовых результатах деятельности (ф. 0503121).</w:t>
      </w:r>
      <w:r>
        <w:rPr>
          <w:rFonts w:cs="Times New Roman" w:ascii="Times New Roman" w:hAnsi="Times New Roman"/>
          <w:sz w:val="28"/>
          <w:szCs w:val="28"/>
        </w:rPr>
        <w:t xml:space="preserve"> Чистый операционный результат за 2023 год составил – 2392638,05 рубля со знаком «минус».</w:t>
      </w:r>
    </w:p>
    <w:p>
      <w:pPr>
        <w:pStyle w:val="Normal"/>
        <w:tabs>
          <w:tab w:val="left" w:pos="0" w:leader="none"/>
        </w:tabs>
        <w:spacing w:before="0" w:after="200"/>
        <w:ind w:firstLine="709"/>
        <w:contextualSpacing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Таблица 1, руб.</w:t>
      </w:r>
    </w:p>
    <w:tbl>
      <w:tblPr>
        <w:tblW w:w="10030" w:type="dxa"/>
        <w:jc w:val="left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val="01e0"/>
      </w:tblPr>
      <w:tblGrid>
        <w:gridCol w:w="645"/>
        <w:gridCol w:w="5194"/>
        <w:gridCol w:w="4191"/>
      </w:tblGrid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Бюджетная деятельность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(рублей)</w:t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5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2392638,05</w:t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Чистый операционный результат (стр.3+стр.4)</w:t>
            </w:r>
          </w:p>
        </w:tc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-2392638,05</w:t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Операции 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нефинансовыми активами</w:t>
            </w:r>
          </w:p>
        </w:tc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-2392638,05 </w:t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Операции 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финансовыми активами</w:t>
            </w:r>
          </w:p>
        </w:tc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</w:tr>
    </w:tbl>
    <w:p>
      <w:pPr>
        <w:pStyle w:val="5"/>
        <w:shd w:val="clear" w:color="auto" w:fill="auto"/>
        <w:spacing w:lineRule="auto" w:line="240" w:before="0" w:after="200"/>
        <w:ind w:right="-425"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Согласно Отчету (ф.0503121) фактические расходы составляют 2392638,05 рубля.</w:t>
      </w:r>
    </w:p>
    <w:p>
      <w:pPr>
        <w:pStyle w:val="5"/>
        <w:shd w:val="clear" w:color="auto" w:fill="auto"/>
        <w:spacing w:lineRule="auto" w:line="276" w:before="0" w:after="200"/>
        <w:ind w:right="-1" w:firstLine="36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Показатели Отчета (ф.0503121) на 01 января 2024 года Совет депутатов подтверждаются данными справки формы 0503110 </w:t>
      </w:r>
      <w:r>
        <w:rPr>
          <w:rFonts w:cs="Times New Roman" w:ascii="Times New Roman" w:hAnsi="Times New Roman"/>
          <w:i/>
          <w:sz w:val="28"/>
          <w:szCs w:val="28"/>
        </w:rPr>
        <w:t>«Справка по заключению счетов бюджетного учета отчетного финансового года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4.2</w:t>
      </w:r>
      <w:r>
        <w:rPr>
          <w:rFonts w:cs="Times New Roman" w:ascii="Times New Roman" w:hAnsi="Times New Roman"/>
          <w:i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Согласно распоряжения Администрации муниципального образования «Демидовский район» Смоленской области от  </w:t>
      </w:r>
      <w:r>
        <w:rPr>
          <w:rFonts w:cs="Times New Roman" w:ascii="Times New Roman" w:hAnsi="Times New Roman"/>
          <w:sz w:val="28"/>
          <w:szCs w:val="28"/>
          <w:highlight w:val="white"/>
        </w:rPr>
        <w:t>27.12.2022  № 376-р</w:t>
      </w:r>
      <w:r>
        <w:rPr>
          <w:rFonts w:cs="Times New Roman" w:ascii="Times New Roman" w:hAnsi="Times New Roman"/>
          <w:sz w:val="28"/>
          <w:szCs w:val="28"/>
        </w:rPr>
        <w:t xml:space="preserve"> «Об утверждении перечня главных администраторов доходов бюджета муниципального образования «Демидовский район» Смоленской области» Совет депутатов 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определен главным администратором доходов бюджета, но кассовых поступлений в 2023 году </w:t>
      </w:r>
      <w:r>
        <w:rPr>
          <w:rFonts w:cs="Times New Roman" w:ascii="Times New Roman" w:hAnsi="Times New Roman"/>
          <w:color w:val="FF0000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не было (</w:t>
      </w:r>
      <w:r>
        <w:rPr>
          <w:rFonts w:cs="Times New Roman" w:ascii="Times New Roman" w:hAnsi="Times New Roman"/>
          <w:i/>
          <w:sz w:val="28"/>
          <w:szCs w:val="28"/>
          <w:highlight w:val="white"/>
        </w:rPr>
        <w:t>Отчет о движении денежных средств (ф. 0503123).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В Отчете отражены данные по  выбытию денежных  средств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и в разделе «Изменения остатков средств» отражены расходы бюджета в размере 2463956,04 рублей.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4.3. </w:t>
      </w:r>
      <w:r>
        <w:rPr>
          <w:rFonts w:cs="Times New Roman" w:ascii="Times New Roman" w:hAnsi="Times New Roman"/>
          <w:i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>
        <w:rPr>
          <w:rFonts w:cs="Times New Roman" w:ascii="Times New Roman" w:hAnsi="Times New Roman"/>
          <w:b/>
          <w:sz w:val="28"/>
          <w:szCs w:val="28"/>
        </w:rPr>
        <w:t xml:space="preserve"> –</w:t>
      </w:r>
      <w:r>
        <w:rPr>
          <w:rFonts w:cs="Times New Roman" w:ascii="Times New Roman" w:hAnsi="Times New Roman"/>
          <w:sz w:val="28"/>
          <w:szCs w:val="28"/>
        </w:rPr>
        <w:t xml:space="preserve"> содержит показатели, характеризующие выполнение годовых утвержденных назначений на 2023 год по расходам и источникам финансирования дефицита бюджета. 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Бюджетные назначения по расходам, отраженные в размере 2470522,24 рублей, исполнены в размере 2463956,04 рублей, в пределах  утвержденных на 2023 год лимитов бюджетных обязательств. Неиспользованные назначения по бюджетным ассигнованиям, по лимитам бюджетных обязательств составили 6566,20 рублей или 0,3% от бюджетных ассигнований. </w:t>
      </w:r>
    </w:p>
    <w:p>
      <w:pPr>
        <w:pStyle w:val="5"/>
        <w:shd w:val="clear" w:color="auto" w:fill="auto"/>
        <w:spacing w:lineRule="auto" w:line="240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Источники финансирования дефицита бюджета исполнены в сумме  2463956,04 рублей.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i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i/>
          <w:sz w:val="28"/>
          <w:szCs w:val="28"/>
        </w:rPr>
        <w:t>. Пояснительная записка (ф. 0503160)</w:t>
      </w:r>
      <w:r>
        <w:rPr>
          <w:rFonts w:cs="Times New Roman" w:ascii="Times New Roman" w:hAnsi="Times New Roman"/>
          <w:sz w:val="28"/>
          <w:szCs w:val="28"/>
        </w:rPr>
        <w:t xml:space="preserve"> составлена в соответствии с требованиями пунктов 151-159 Инструкции 191н, представлена в разрезе пяти разделов, с приложением соответствующих форм и таблиц.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highlight w:val="white"/>
        </w:rPr>
      </w:pPr>
      <w:r>
        <w:rPr>
          <w:rFonts w:eastAsia="" w:cs="Times New Roman" w:ascii="Times New Roman" w:hAnsi="Times New Roman" w:eastAsiaTheme="minorEastAsia"/>
          <w:b/>
          <w:i/>
          <w:sz w:val="28"/>
          <w:szCs w:val="28"/>
          <w:highlight w:val="white"/>
        </w:rPr>
        <w:t xml:space="preserve">Раздел 1. «Организационная структура субъекта бюджетной отчетности».   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>В данном разделе отражена информация о деятельности Совет депутатов, каким образом осуществляется бухгалтерский учет.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1" w:name="__DdeLink__1718_812494435"/>
      <w:bookmarkEnd w:id="1"/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  <w:lang w:eastAsia="ar-SA"/>
        </w:rPr>
        <w:t>Также в разделе отражены сведения об организационной структуре Совета депутатов в виде таблицы 11,  в которой указан адрес нахождения учреждения, организационно-правовая форма, нормативно-правовые акты, регламентирующие деятельность Совета депутатов, орган осуществляющий внешний муниципальный финансовый контроль.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i/>
          <w:sz w:val="28"/>
          <w:szCs w:val="28"/>
          <w:highlight w:val="white"/>
        </w:rPr>
        <w:t>Раздел 2. «Результаты деятельности субъекта бюджетной отчётности»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>Текст Пояснительной записки данного раздела содержит информацию о повышении эффективности расходования бюджетных средств. Меры по повышению эффективности расходования бюджетных средств не принимались.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Также  в форме таблицы 12 указаны сведения о результатах деятельности Совета депутатов.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Раздел 3. «Анализ отчета об исполнении бюджета субъекта бюджетной отчетности».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Согласно представленным сведениям об исполнении бюджета (</w:t>
      </w:r>
      <w:r>
        <w:rPr>
          <w:rFonts w:cs="Times New Roman" w:ascii="Times New Roman" w:hAnsi="Times New Roman"/>
          <w:b/>
          <w:sz w:val="28"/>
          <w:szCs w:val="28"/>
          <w:lang w:eastAsia="ar-SA"/>
        </w:rPr>
        <w:t>ф. 0503164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)  расходы составили  99,73 % от предусмотренных бюджетных назначений.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Показатели формы </w:t>
      </w:r>
      <w:r>
        <w:rPr>
          <w:rFonts w:cs="Times New Roman" w:ascii="Times New Roman" w:hAnsi="Times New Roman"/>
          <w:b/>
          <w:sz w:val="28"/>
          <w:szCs w:val="28"/>
        </w:rPr>
        <w:t>0503164</w:t>
      </w:r>
      <w:r>
        <w:rPr>
          <w:rFonts w:cs="Times New Roman" w:ascii="Times New Roman" w:hAnsi="Times New Roman"/>
          <w:sz w:val="28"/>
          <w:szCs w:val="28"/>
        </w:rPr>
        <w:t xml:space="preserve"> «Сведения об исполнении бюджета» соответствует показателям отчета </w:t>
      </w:r>
      <w:r>
        <w:rPr>
          <w:rFonts w:cs="Times New Roman" w:ascii="Times New Roman" w:hAnsi="Times New Roman"/>
          <w:b/>
          <w:sz w:val="28"/>
          <w:szCs w:val="28"/>
        </w:rPr>
        <w:t>ф.0503127 «</w:t>
      </w:r>
      <w:r>
        <w:rPr>
          <w:rFonts w:cs="Times New Roman" w:ascii="Times New Roman" w:hAnsi="Times New Roman"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hyperlink r:id="rId5">
        <w:r>
          <w:rPr>
            <w:rStyle w:val="Style18"/>
            <w:rFonts w:eastAsia="" w:cs="Times New Roman" w:ascii="Times New Roman" w:hAnsi="Times New Roman" w:eastAsiaTheme="minorEastAsia"/>
            <w:sz w:val="28"/>
            <w:szCs w:val="28"/>
            <w:highlight w:val="white"/>
          </w:rPr>
          <w:t>Таблица № 3</w:t>
        </w:r>
      </w:hyperlink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«Сведения об исполнении текстовых статей закона (решения) о бюджете» характеризует результаты анализа исполнения текстовых статей закона (решения) о бюджете, имеющих отношение к деятельности субъекта бюджетной отчетности,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средств.</w:t>
      </w: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 Советом депутатов в данной таблице отражено исполнение текстовых статей решения о бюджете №110/10 от 27.12.2022г. (ст.  21 п. 1 ).</w:t>
      </w:r>
    </w:p>
    <w:p>
      <w:pPr>
        <w:pStyle w:val="Normal"/>
        <w:spacing w:lineRule="auto" w:line="240" w:before="0" w:after="0"/>
        <w:ind w:firstLine="709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Раздел 4. «Анализ показателей бухгалтерской отчетности субъекта бюджетной отчетности».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Форма 0503169 «Сведения по дебиторской и кредиторской задолженности» составлена раздельно по дебиторской и по кредиторской задолженности, что соответствует п. 167 Инструкции 191н.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Дебиторская задолженность по состоянию на 01.01.2024 составила 0,0 рублей.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Кредиторская задолженность составила 1149,31 рублей, в том числе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расчетам за услуги связи (декабрь 2023) в сумме 1149,31 рублей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Увеличение кредиторской задолженности в сравнении с аналогичным периодом предшествующего года составило 38,84 рублей или 3,5%.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данным Пояснительной записки просроченная кредиторская задолженность отсутствует.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Итоговый показатель кредиторской задолженности ф.0503169 «Сведения по кредиторской задолженности» соответствует данным баланса ф.0503130.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 xml:space="preserve">ф. 0503168 «Сведения о движении нефинансовых активов» </w:t>
      </w:r>
      <w:r>
        <w:rPr>
          <w:rFonts w:cs="Times New Roman" w:ascii="Times New Roman" w:hAnsi="Times New Roman"/>
          <w:sz w:val="28"/>
          <w:szCs w:val="28"/>
        </w:rPr>
        <w:t xml:space="preserve"> отражены данные по видам нефинансовых активов. За отчетный период основные средства не поступали. По состоянию на 01.01.2024г  основные средства составили 205215,25 рублей.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Сумма начисленной амортизации 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на 01.01.2024 составила 100%</w:t>
      </w:r>
      <w:r>
        <w:rPr>
          <w:rFonts w:cs="Times New Roman" w:ascii="Times New Roman" w:hAnsi="Times New Roman"/>
          <w:sz w:val="28"/>
          <w:szCs w:val="28"/>
          <w:highlight w:val="white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Размер материальных запасов на начало года составил 0,0 рублей, на конец отчетного периода 0,0 рубля. Поступления за отчетный период составили 6060,0  рублей, выбытия – 6060,0 рублей.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Сведения о принятых и неиспользованных обязательствах получателя бюджетных средств Форма 0503175 отражают  </w:t>
      </w:r>
      <w:r>
        <w:rPr>
          <w:rFonts w:eastAsia="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аналитические данные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Не исполнено обязательств по счету 150211211 в сумме 3028,55 рублей за счет экономии по заработной плате.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Раздел 5. «Прочие вопросы деятельности субъекта бюджетной отчётности»</w:t>
      </w:r>
      <w:r>
        <w:rPr>
          <w:rFonts w:cs="Times New Roman" w:ascii="Times New Roman" w:hAnsi="Times New Roman"/>
          <w:sz w:val="28"/>
          <w:szCs w:val="28"/>
        </w:rPr>
        <w:t xml:space="preserve">. 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Информация в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Таблице N 4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"Сведения об основных положениях учетной политики учреждения"  характеризует основные положения учетной политики субъекта бюджетной отчетности,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актами, регулирующими ведение бюджетного учета, права самостоятельного определения таких особенностей и отраслевых особенностей бюджетного учета. Учетной политикой определен срок полезного использования основных средств исходя из рекомендаций, содержащихся в документах производителя на основании решения комиссии по поступлению и выбытию активов. Определен метод начисления амортизации- линейный,  способ выбытия материальных запасов -по средней фактической стоимости.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Согласно таблицы №16 Пояснительной записки Советом депутатов инвентаризация проводилась на основании распоряжения   № 12-р от 30.09.2023г.  В результате проведения инвентаризации расхождения не выявлены.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В соответствии с п.158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Таблица № 6 «Сведения о проведенной инвентаризации» не заполняется. 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 соответствии с п 159.9 Инструкции 191-н Советом депутатов  в таблице №16 пояснительной записки перечислены формы бюджетной отчетности с нулевыми значениями не требующие предоставления при сдаче годовой бюджетной отчетности.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" w:cs="Times New Roman" w:eastAsiaTheme="minorEastAsia"/>
          <w:b/>
          <w:b/>
          <w:i/>
          <w:i/>
          <w:sz w:val="28"/>
          <w:szCs w:val="28"/>
          <w:highlight w:val="yellow"/>
        </w:rPr>
      </w:pPr>
      <w:r>
        <w:rPr>
          <w:rFonts w:eastAsia="" w:cs="Times New Roman" w:eastAsiaTheme="minorEastAsia" w:ascii="Times New Roman" w:hAnsi="Times New Roman"/>
          <w:b/>
          <w:i/>
          <w:sz w:val="28"/>
          <w:szCs w:val="28"/>
          <w:highlight w:val="yellow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5. Оценка имущественного положения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>
      <w:pPr>
        <w:pStyle w:val="Normal"/>
        <w:shd w:val="clear" w:color="auto" w:fill="FFFFFF"/>
        <w:spacing w:lineRule="auto" w:line="240" w:before="0" w:after="200"/>
        <w:ind w:right="6" w:hanging="0"/>
        <w:contextualSpacing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Таблица 2, руб.</w:t>
      </w:r>
    </w:p>
    <w:tbl>
      <w:tblPr>
        <w:tblW w:w="11060" w:type="dxa"/>
        <w:jc w:val="left"/>
        <w:tblInd w:w="-8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108" w:type="dxa"/>
        </w:tblCellMar>
        <w:tblLook w:val="04a0"/>
      </w:tblPr>
      <w:tblGrid>
        <w:gridCol w:w="1556"/>
        <w:gridCol w:w="1392"/>
        <w:gridCol w:w="1362"/>
        <w:gridCol w:w="679"/>
        <w:gridCol w:w="1"/>
        <w:gridCol w:w="1247"/>
        <w:gridCol w:w="3"/>
        <w:gridCol w:w="1"/>
        <w:gridCol w:w="1298"/>
        <w:gridCol w:w="2"/>
        <w:gridCol w:w="1298"/>
        <w:gridCol w:w="849"/>
        <w:gridCol w:w="3"/>
        <w:gridCol w:w="1367"/>
      </w:tblGrid>
      <w:tr>
        <w:trPr>
          <w:trHeight w:val="206" w:hRule="atLeast"/>
        </w:trPr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Показатель</w:t>
            </w:r>
          </w:p>
        </w:tc>
        <w:tc>
          <w:tcPr>
            <w:tcW w:w="46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По состоянию на 01.01.2023</w:t>
            </w:r>
          </w:p>
        </w:tc>
        <w:tc>
          <w:tcPr>
            <w:tcW w:w="48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По состоянию на 01.01.2024</w:t>
            </w:r>
          </w:p>
        </w:tc>
      </w:tr>
      <w:tr>
        <w:trPr>
          <w:trHeight w:val="219" w:hRule="atLeast"/>
        </w:trPr>
        <w:tc>
          <w:tcPr>
            <w:tcW w:w="15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Балансовая стоимость ОС</w:t>
            </w: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Амортизация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Остаточная стоимость (гр.2-гр.3)</w:t>
            </w:r>
          </w:p>
        </w:tc>
        <w:tc>
          <w:tcPr>
            <w:tcW w:w="13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Балансовая стоимость ОС</w:t>
            </w:r>
          </w:p>
        </w:tc>
        <w:tc>
          <w:tcPr>
            <w:tcW w:w="21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Амортизация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Остаточная стоимость (гр.6– р.7)</w:t>
            </w:r>
          </w:p>
        </w:tc>
      </w:tr>
      <w:tr>
        <w:trPr>
          <w:trHeight w:val="28" w:hRule="atLeast"/>
        </w:trPr>
        <w:tc>
          <w:tcPr>
            <w:tcW w:w="15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рублей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%</w:t>
            </w:r>
          </w:p>
        </w:tc>
        <w:tc>
          <w:tcPr>
            <w:tcW w:w="125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рублей.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%</w:t>
            </w:r>
          </w:p>
        </w:tc>
        <w:tc>
          <w:tcPr>
            <w:tcW w:w="1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5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/>
              <w:t>Нежилые помещения (здания и сооружения)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</w:tr>
      <w:tr>
        <w:trPr>
          <w:trHeight w:val="587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Машины и оборудование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139366,69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139366,69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139366,69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139366,69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Транспортные средства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</w:tr>
      <w:tr>
        <w:trPr>
          <w:trHeight w:val="632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Производственный и хозяйственный инвентарь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65848,56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65848,56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65848,56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65848,56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6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Прочие основные средства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</w:tr>
      <w:tr>
        <w:trPr>
          <w:trHeight w:val="426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Основные средства, всего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205215,25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205215,25</w:t>
            </w:r>
          </w:p>
        </w:tc>
        <w:tc>
          <w:tcPr>
            <w:tcW w:w="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100,0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205215,25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205215,25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100,0</w:t>
            </w:r>
          </w:p>
        </w:tc>
        <w:tc>
          <w:tcPr>
            <w:tcW w:w="1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</w:tr>
    </w:tbl>
    <w:p>
      <w:pPr>
        <w:pStyle w:val="Normal"/>
        <w:spacing w:before="12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Согласно показателям, отраженным в данной таблице, следует, что балансовая стоимость основных средств Совета депутатов за отчётный период не изменилась.</w:t>
      </w:r>
    </w:p>
    <w:p>
      <w:pPr>
        <w:pStyle w:val="Normal"/>
        <w:tabs>
          <w:tab w:val="left" w:pos="0" w:leader="none"/>
        </w:tabs>
        <w:spacing w:before="40" w:after="200"/>
        <w:ind w:right="-1" w:firstLine="426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видам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нефинансового актива: основные средства, амортизация основных средств,  материальные запасы соответствуют остаткам по </w:t>
      </w:r>
      <w:r>
        <w:rPr>
          <w:rFonts w:cs="Times New Roman" w:ascii="Times New Roman" w:hAnsi="Times New Roman"/>
          <w:i/>
          <w:sz w:val="28"/>
          <w:szCs w:val="28"/>
        </w:rPr>
        <w:t>форме 0503130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i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Выводы:</w:t>
      </w:r>
    </w:p>
    <w:p>
      <w:pPr>
        <w:pStyle w:val="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ходе внешней проверки годовой бюджетной отчетности Совета депутатов, проведенной Контрольно-ревизионной комиссией установлено: </w:t>
      </w:r>
    </w:p>
    <w:p>
      <w:pPr>
        <w:pStyle w:val="Normal"/>
        <w:tabs>
          <w:tab w:val="left" w:pos="709" w:leader="none"/>
          <w:tab w:val="left" w:pos="851" w:leader="none"/>
        </w:tabs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отчет представлен в Контрольно-ревизионную комиссию, для проведения его внешней проверки и подготовки заключения в установленный срок;</w:t>
      </w:r>
    </w:p>
    <w:p>
      <w:pPr>
        <w:pStyle w:val="Normal"/>
        <w:tabs>
          <w:tab w:val="left" w:pos="709" w:leader="none"/>
          <w:tab w:val="left" w:pos="851" w:leader="none"/>
        </w:tabs>
        <w:spacing w:before="0" w:after="200"/>
        <w:ind w:right="-1" w:firstLine="709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соблюдены;</w:t>
      </w:r>
    </w:p>
    <w:p>
      <w:pPr>
        <w:pStyle w:val="Normal"/>
        <w:tabs>
          <w:tab w:val="left" w:pos="709" w:leader="none"/>
          <w:tab w:val="left" w:pos="851" w:leader="none"/>
        </w:tabs>
        <w:spacing w:before="0" w:after="200"/>
        <w:ind w:right="-1" w:firstLine="709"/>
        <w:contextualSpacing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-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  <w:lang w:val="ru-RU"/>
        </w:rPr>
        <w:t xml:space="preserve">  фактов, способных негативно повлиять на достоверность бюджетной отчетности, не установлено.  </w:t>
      </w:r>
    </w:p>
    <w:p>
      <w:pPr>
        <w:pStyle w:val="Normal"/>
        <w:spacing w:before="0" w:after="200"/>
        <w:ind w:left="2832" w:firstLine="708"/>
        <w:contextualSpacing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ind w:left="2832" w:firstLine="708"/>
        <w:contextualSpacing/>
        <w:jc w:val="both"/>
        <w:rPr>
          <w:rFonts w:eastAsia="Calibri"/>
          <w:sz w:val="26"/>
          <w:szCs w:val="26"/>
          <w:highlight w:val="white"/>
          <w:lang w:val="ru-RU"/>
        </w:rPr>
      </w:pPr>
      <w:r>
        <w:rPr>
          <w:rFonts w:eastAsia="Calibri"/>
          <w:sz w:val="26"/>
          <w:szCs w:val="26"/>
          <w:highlight w:val="white"/>
          <w:lang w:val="ru-RU"/>
        </w:rPr>
      </w:r>
    </w:p>
    <w:p>
      <w:pPr>
        <w:pStyle w:val="Normal"/>
        <w:spacing w:before="0" w:after="200"/>
        <w:ind w:left="2832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Председатель Контрольно-ревизионной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комиссии муниципального образования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«Демидовский район» Смоленской области                            Т.В. Терещенкова</w:t>
      </w:r>
    </w:p>
    <w:p>
      <w:pPr>
        <w:pStyle w:val="Normal"/>
        <w:spacing w:before="0" w:after="20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/>
      </w:pPr>
      <w:r>
        <w:rPr>
          <w:rStyle w:val="Style18"/>
          <w:rFonts w:cs="Times New Roman" w:ascii="Times New Roman" w:hAnsi="Times New Roman"/>
          <w:bCs/>
          <w:color w:val="000000"/>
          <w:sz w:val="28"/>
          <w:szCs w:val="28"/>
          <w:u w:val="single"/>
        </w:rPr>
        <w:t>13</w:t>
      </w:r>
      <w:hyperlink r:id="rId6">
        <w:r>
          <w:rPr>
            <w:rStyle w:val="Style18"/>
            <w:rFonts w:cs="Times New Roman" w:ascii="Times New Roman" w:hAnsi="Times New Roman"/>
            <w:bCs/>
            <w:color w:val="000000"/>
            <w:sz w:val="28"/>
            <w:szCs w:val="28"/>
            <w:u w:val="single"/>
          </w:rPr>
          <w:t>.</w:t>
        </w:r>
        <w:r>
          <w:rPr>
            <w:rStyle w:val="Style18"/>
            <w:rFonts w:cs="Times New Roman" w:ascii="Times New Roman" w:hAnsi="Times New Roman"/>
            <w:bCs/>
            <w:color w:val="000000"/>
            <w:sz w:val="28"/>
            <w:szCs w:val="28"/>
          </w:rPr>
          <w:t xml:space="preserve">03.2024 </w:t>
        </w:r>
      </w:hyperlink>
    </w:p>
    <w:sectPr>
      <w:headerReference w:type="default" r:id="rId7"/>
      <w:type w:val="nextPage"/>
      <w:pgSz w:w="11906" w:h="16838"/>
      <w:pgMar w:left="1134" w:right="567" w:header="850" w:top="1416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88" w:hanging="360"/>
      </w:pPr>
      <w:rPr>
        <w:rFonts w:ascii="Symbol" w:hAnsi="Symbol" w:cs="Symbol" w:hint="default"/>
        <w:sz w:val="28"/>
        <w:szCs w:val="28"/>
        <w:rFonts w:cs="Symbol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0e0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1934f8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semiHidden/>
    <w:unhideWhenUsed/>
    <w:qFormat/>
    <w:rsid w:val="004f5df7"/>
    <w:pPr>
      <w:keepNext/>
      <w:keepLines/>
      <w:spacing w:lineRule="auto" w:line="240"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4f5df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4f5df7"/>
    <w:rPr/>
  </w:style>
  <w:style w:type="character" w:styleId="Style13" w:customStyle="1">
    <w:name w:val="Основной текст_"/>
    <w:link w:val="5"/>
    <w:qFormat/>
    <w:rsid w:val="004f5df7"/>
    <w:rPr>
      <w:sz w:val="26"/>
      <w:szCs w:val="26"/>
      <w:shd w:fill="FFFFFF" w:val="clear"/>
    </w:rPr>
  </w:style>
  <w:style w:type="character" w:styleId="Style14" w:customStyle="1">
    <w:name w:val="Основной текст + Курсив"/>
    <w:qFormat/>
    <w:rsid w:val="004f5df7"/>
    <w:rPr>
      <w:i/>
      <w:iCs/>
      <w:color w:val="000000"/>
      <w:spacing w:val="0"/>
      <w:w w:val="100"/>
      <w:sz w:val="26"/>
      <w:szCs w:val="26"/>
      <w:shd w:fill="FFFFFF" w:val="clear"/>
      <w:lang w:val="ru-RU"/>
    </w:rPr>
  </w:style>
  <w:style w:type="character" w:styleId="Style15" w:customStyle="1">
    <w:name w:val="Основной текст Знак"/>
    <w:basedOn w:val="DefaultParagraphFont"/>
    <w:link w:val="a7"/>
    <w:uiPriority w:val="99"/>
    <w:qFormat/>
    <w:rsid w:val="004f5df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f5df7"/>
    <w:rPr>
      <w:rFonts w:ascii="Tahoma" w:hAnsi="Tahoma" w:cs="Tahoma"/>
      <w:sz w:val="16"/>
      <w:szCs w:val="16"/>
    </w:rPr>
  </w:style>
  <w:style w:type="character" w:styleId="Style17" w:customStyle="1">
    <w:name w:val="Гипертекстовая ссылка"/>
    <w:uiPriority w:val="99"/>
    <w:qFormat/>
    <w:rsid w:val="00120c71"/>
    <w:rPr>
      <w:color w:val="106BB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934f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c10f29"/>
    <w:rPr>
      <w:rFonts w:ascii="Courier New" w:hAnsi="Courier New" w:eastAsia="Times New Roman" w:cs="Courier New"/>
      <w:sz w:val="20"/>
      <w:szCs w:val="20"/>
    </w:rPr>
  </w:style>
  <w:style w:type="character" w:styleId="12" w:customStyle="1">
    <w:name w:val="Основной текст Знак1"/>
    <w:basedOn w:val="DefaultParagraphFont"/>
    <w:uiPriority w:val="99"/>
    <w:qFormat/>
    <w:rsid w:val="00593db5"/>
    <w:rPr>
      <w:rFonts w:ascii="Calibri" w:hAnsi="Calibri" w:cs="Calibri"/>
      <w:sz w:val="28"/>
      <w:szCs w:val="28"/>
      <w:u w:val="none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ListLabel15">
    <w:name w:val="ListLabel 15"/>
    <w:qFormat/>
    <w:rPr>
      <w:rFonts w:cs="Symbol"/>
      <w:sz w:val="28"/>
      <w:szCs w:val="28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ascii="Times New Roman" w:hAnsi="Times New Roman" w:cs="Symbol"/>
      <w:sz w:val="28"/>
      <w:szCs w:val="28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  <w:sz w:val="28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ascii="Times New Roman" w:hAnsi="Times New Roman" w:cs="Symbol"/>
      <w:sz w:val="28"/>
      <w:szCs w:val="28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  <w:sz w:val="28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Times New Roman" w:hAnsi="Times New Roman" w:cs="Symbol"/>
      <w:sz w:val="28"/>
      <w:szCs w:val="28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  <w:sz w:val="28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ascii="Times New Roman" w:hAnsi="Times New Roman" w:cs="Symbol"/>
      <w:sz w:val="28"/>
      <w:szCs w:val="28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  <w:sz w:val="28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ascii="Times New Roman" w:hAnsi="Times New Roman" w:cs="Symbol"/>
      <w:sz w:val="28"/>
      <w:szCs w:val="28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  <w:sz w:val="28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ascii="Times New Roman" w:hAnsi="Times New Roman" w:cs="Symbol"/>
      <w:sz w:val="28"/>
      <w:szCs w:val="28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  <w:sz w:val="28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ascii="Times New Roman" w:hAnsi="Times New Roman" w:cs="Symbol"/>
      <w:sz w:val="28"/>
      <w:szCs w:val="28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  <w:sz w:val="28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ascii="Times New Roman" w:hAnsi="Times New Roman" w:cs="Symbol"/>
      <w:sz w:val="28"/>
      <w:szCs w:val="28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  <w:sz w:val="28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ascii="Times New Roman" w:hAnsi="Times New Roman" w:cs="Symbol"/>
      <w:sz w:val="28"/>
      <w:szCs w:val="28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  <w:sz w:val="28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ascii="Times New Roman" w:hAnsi="Times New Roman" w:cs="Symbol"/>
      <w:sz w:val="28"/>
      <w:szCs w:val="28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  <w:sz w:val="28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ascii="Times New Roman" w:hAnsi="Times New Roman" w:cs="Symbol"/>
      <w:sz w:val="28"/>
      <w:szCs w:val="28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  <w:sz w:val="28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ascii="Times New Roman" w:hAnsi="Times New Roman" w:cs="Symbol"/>
      <w:sz w:val="28"/>
      <w:szCs w:val="28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  <w:sz w:val="28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ascii="Times New Roman" w:hAnsi="Times New Roman" w:cs="Symbol"/>
      <w:sz w:val="28"/>
      <w:szCs w:val="28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  <w:sz w:val="28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ascii="Times New Roman" w:hAnsi="Times New Roman" w:cs="Symbol"/>
      <w:sz w:val="28"/>
      <w:szCs w:val="28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  <w:sz w:val="28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8"/>
    <w:uiPriority w:val="99"/>
    <w:unhideWhenUsed/>
    <w:rsid w:val="004f5df7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Header"/>
    <w:basedOn w:val="Normal"/>
    <w:link w:val="a4"/>
    <w:uiPriority w:val="99"/>
    <w:unhideWhenUsed/>
    <w:rsid w:val="004f5d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5" w:customStyle="1">
    <w:name w:val="Основной текст5"/>
    <w:basedOn w:val="Normal"/>
    <w:link w:val="a5"/>
    <w:qFormat/>
    <w:rsid w:val="004f5df7"/>
    <w:pPr>
      <w:widowControl w:val="false"/>
      <w:shd w:val="clear" w:color="auto" w:fill="FFFFFF"/>
      <w:spacing w:lineRule="exact" w:line="322" w:before="0" w:after="0"/>
      <w:jc w:val="both"/>
    </w:pPr>
    <w:rPr>
      <w:sz w:val="26"/>
      <w:szCs w:val="26"/>
    </w:rPr>
  </w:style>
  <w:style w:type="paragraph" w:styleId="31" w:customStyle="1">
    <w:name w:val="Основной текст с отступом 31"/>
    <w:basedOn w:val="Normal"/>
    <w:qFormat/>
    <w:rsid w:val="004f5df7"/>
    <w:pPr>
      <w:suppressAutoHyphens w:val="true"/>
      <w:spacing w:lineRule="auto" w:line="360" w:before="0" w:after="0"/>
      <w:ind w:firstLine="68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4f5d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1764a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211" w:customStyle="1">
    <w:name w:val="Основной текст с отступом 21"/>
    <w:basedOn w:val="Normal"/>
    <w:qFormat/>
    <w:rsid w:val="001764a9"/>
    <w:pPr>
      <w:suppressAutoHyphens w:val="true"/>
      <w:overflowPunct w:val="false"/>
      <w:spacing w:lineRule="auto" w:line="240" w:before="0" w:after="0"/>
      <w:ind w:firstLine="567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764a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25" w:customStyle="1">
    <w:name w:val="Прижатый влево"/>
    <w:basedOn w:val="Normal"/>
    <w:qFormat/>
    <w:rsid w:val="00552684"/>
    <w:pPr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Style26" w:customStyle="1">
    <w:name w:val="Нормальный (таблица)"/>
    <w:basedOn w:val="Normal"/>
    <w:qFormat/>
    <w:rsid w:val="00552684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NoSpacing">
    <w:name w:val="No Spacing"/>
    <w:uiPriority w:val="1"/>
    <w:qFormat/>
    <w:rsid w:val="00cb3df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32" w:customStyle="1">
    <w:name w:val="Основной текст с отступом 32"/>
    <w:basedOn w:val="Normal"/>
    <w:qFormat/>
    <w:rsid w:val="00fb35b3"/>
    <w:pPr>
      <w:suppressAutoHyphens w:val="true"/>
      <w:spacing w:lineRule="auto" w:line="360" w:before="0" w:after="0"/>
      <w:ind w:firstLine="68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c10f2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7">
    <w:name w:val="Содержимое таблицы"/>
    <w:basedOn w:val="Normal"/>
    <w:qFormat/>
    <w:pPr/>
    <w:rPr/>
  </w:style>
  <w:style w:type="paragraph" w:styleId="Style28">
    <w:name w:val="Заголовок таблицы"/>
    <w:basedOn w:val="Style27"/>
    <w:qFormat/>
    <w:pPr/>
    <w:rPr/>
  </w:style>
  <w:style w:type="paragraph" w:styleId="ConsPlusNonformat">
    <w:name w:val="ConsPlusNonformat"/>
    <w:qFormat/>
    <w:pPr>
      <w:widowControl/>
      <w:tabs>
        <w:tab w:val="left" w:pos="4860" w:leader="none"/>
      </w:tabs>
      <w:suppressAutoHyphens w:val="true"/>
      <w:overflowPunct w:val="false"/>
      <w:bidi w:val="0"/>
      <w:spacing w:lineRule="auto" w:line="240"/>
      <w:ind w:left="0" w:right="0" w:hanging="0"/>
      <w:jc w:val="both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paragraph" w:styleId="Style29">
    <w:name w:val="Обычный (веб)"/>
    <w:qFormat/>
    <w:pPr>
      <w:widowControl/>
      <w:suppressAutoHyphens w:val="true"/>
      <w:bidi w:val="0"/>
      <w:spacing w:lineRule="auto" w:line="276" w:before="280" w:after="28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D3E4340C9F8CA35CDF7DD1E5554896A82239A8A9DC8295D3483484C9E6FE7F09D5655C4200EF29EE50906B3352F08CF1C7A340C40CCB8C0uBy8L" TargetMode="External"/><Relationship Id="rId3" Type="http://schemas.openxmlformats.org/officeDocument/2006/relationships/hyperlink" Target="consultantplus://offline/ref=B06E36B8106D5E5E8D638C57FCBE1C09E9EB8C4AD3125EDB72F1659552571F598C8E096EAF5917279D5C3BE51A29F665B57929D7B603C838BFcDL" TargetMode="External"/><Relationship Id="rId4" Type="http://schemas.openxmlformats.org/officeDocument/2006/relationships/hyperlink" Target="consultantplus://offline/ref=DD892A017D285379F0E1081C226FDA4D6D4627A6E3C0639038FEBBD3B501F17BEB34E4DD3D62F77A5F520F708FD60D64EE361B996EC5C4973ByDH" TargetMode="External"/><Relationship Id="rId5" Type="http://schemas.openxmlformats.org/officeDocument/2006/relationships/hyperlink" Target="consultantplus://offline/ref=493B3F60E031880F648A276873EEF65A94EADDFA3F873BA8ED07A0CFE5C99181037A0CC0B704264B21934CAFF78C455D27D8340177353CEBfBsBG" TargetMode="External"/><Relationship Id="rId6" Type="http://schemas.openxmlformats.org/officeDocument/2006/relationships/hyperlink" Target="https://login.consultant.ru/link/?req=doc&amp;base=LAW&amp;n=467434&amp;dst=17791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EB25-8DDA-434D-AF79-8C684DF7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Application>LibreOffice/5.3.1.2$Windows_x86 LibreOffice_project/e80a0e0fd1875e1696614d24c32df0f95f03deb2</Application>
  <Pages>7</Pages>
  <Words>613</Words>
  <Characters>4436</Characters>
  <CharactersWithSpaces>5000</CharactersWithSpaces>
  <Paragraphs>103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2024-03-05T15:51:00Z</dcterms:created>
  <dc:creator>Shet_palata</dc:creator>
  <dc:description/>
  <dc:language>ru-RU</dc:language>
  <cp:lastModifiedBy/>
  <cp:lastPrinted>2024-03-13T10:44:11Z</cp:lastPrinted>
  <dcterms:modified xsi:type="dcterms:W3CDTF">2024-03-13T12:52:57Z</dcterms:modified>
  <cp:revision>70</cp:revision>
  <dc:subject/>
  <dc:title>Приказ Минфина России от 28.12.2010 N 191н
(ред. от 07.11.2023)
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
(Зарегистрировано в Минюсте России 03.02.2011 N 19693)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4023.00.50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