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Структурная и количественная динамика в малом и среднем предпринимательстве 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муниципальном образовании «Демидовский район» Смоленской области  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 период с 1 мая 2023 г. по 1 мая 2024 г</w:t>
      </w:r>
      <w:bookmarkStart w:id="0" w:name="_GoBack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bookmarkEnd w:id="0"/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(по данным Единого реестра малого и среднего предпринимательства)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8081" w:leader="none"/>
        </w:tabs>
        <w:spacing w:lineRule="auto" w:line="240" w:before="0" w:after="0"/>
        <w:ind w:right="-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Таблица 1. Количество субъектов МСП в Демидовском районе в сравнении с другими муниципальными образованиями Смоленской области с</w:t>
      </w:r>
      <w:r>
        <w:rPr>
          <w:rFonts w:eastAsia="Times New Roman" w:cs="Times New Roman" w:ascii="Times New Roman" w:hAnsi="Times New Roman"/>
          <w:b/>
          <w:bCs/>
          <w:color w:val="FF0000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>10.05.2023 по 10.05.2024</w:t>
      </w:r>
    </w:p>
    <w:tbl>
      <w:tblPr>
        <w:tblW w:w="9602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24"/>
        <w:gridCol w:w="1670"/>
        <w:gridCol w:w="1017"/>
        <w:gridCol w:w="1017"/>
        <w:gridCol w:w="1017"/>
        <w:gridCol w:w="914"/>
        <w:gridCol w:w="914"/>
        <w:gridCol w:w="914"/>
        <w:gridCol w:w="914"/>
      </w:tblGrid>
      <w:tr>
        <w:trPr>
          <w:trHeight w:val="5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10.05.2024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spacing w:lineRule="atLeast" w:line="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>
        <w:trPr>
          <w:trHeight w:val="110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Велижский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1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-5,75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Вяземский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Гагаринский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Глинковский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Демидовский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2,73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9D08D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-0,99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Дорогобужский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-4,48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Духовщинский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Ельнинский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9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Ершичский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-1,50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0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ind w:right="-26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Кардымовский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1"/>
              </w:numPr>
              <w:spacing w:lineRule="atLeast" w:line="64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Краснинский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416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405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413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1,48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-3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-0,72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2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Монастырщинский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-2,09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3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Новодугинский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4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Починковский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-2,77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5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Рославльский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>
        <w:trPr>
          <w:trHeight w:val="178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Руднянский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7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-2,79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Сафоновский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8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Смоленский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7,64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9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Сычёвский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0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Тёмкинский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1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Угранский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2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Хиславичский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13,19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3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Холм-Жирковский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-1,52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4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Шумячский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-2,60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-6,21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5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Ярцевский р-он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6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Десногорск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>
        <w:trPr>
          <w:trHeight w:val="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27"/>
              </w:numPr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6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</w:tr>
      <w:tr>
        <w:trPr>
          <w:trHeight w:val="284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right="-14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39008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39224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*прирост в % посчитан как среднее значение по Смоленской области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данным ФНС России количество субъектов МСП, осуществляющих деятельность на территории Демидовского района с мая 2023 г. по май 2024г., уменьшилось на 3 единицы или на 0,99% и равно 301 единицам. В целом, на территории Смоленской области показатель числа зарегистрированных субъектов малого и среднего предпринимательства увеличился в процентном отношении на 0,55% или на 216 единиц. Районами с наиболее положительной динамикой являются: Гагаринский район (+44 единиц или 2,99%). г.Десногорск (+12 единиц или 2,18%), Сафоновский район (+54 единиц или 3,44%), Тёмкинский район (+10 единиц или 7,58%), Хиславичский район (+24 единицы или 13,19%) и Смоленский район (+194 единиц или 7,64%). 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6f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Docdata" w:customStyle="1">
    <w:name w:val="docdata"/>
    <w:basedOn w:val="Normal"/>
    <w:qFormat/>
    <w:rsid w:val="00ef51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ef51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LibreOffice/24.2.3.2$Windows_X86_64 LibreOffice_project/433d9c2ded56988e8a90e6b2e771ee4e6a5ab2ba</Application>
  <AppVersion>15.0000</AppVersion>
  <Pages>2</Pages>
  <Words>470</Words>
  <Characters>2243</Characters>
  <CharactersWithSpaces>2481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2024-05-23T06:20:00Z</dcterms:created>
  <dc:creator>USER</dc:creator>
  <dc:description/>
  <dc:language>ru-RU</dc:language>
  <cp:lastModifiedBy/>
  <dcterms:modified xsi:type="dcterms:W3CDTF">2024-05-28T08:08:14Z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