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Структурная и количественная динамика в малом и среднем предпринимательстве </w:t>
      </w:r>
    </w:p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муниципальном образовании «Демидовский район» Смоленской области  </w:t>
      </w:r>
    </w:p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 период с 1 июня 2023 г. по 1 июня 2024 г</w:t>
      </w:r>
      <w:bookmarkStart w:id="0" w:name="_GoBack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bookmarkEnd w:id="0"/>
    </w:p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(по данным Единого реестра малого и среднего предпринимательства)</w:t>
      </w:r>
    </w:p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>Таблица 1. Количество субъектов МСП в Демидовский  районе в сравнении с другими муниципальными образованиями Смоленской области с</w:t>
      </w:r>
      <w:r>
        <w:rPr>
          <w:rFonts w:eastAsia="Times New Roman" w:cs="Times New Roman" w:ascii="Times New Roman" w:hAnsi="Times New Roman"/>
          <w:b/>
          <w:bCs/>
          <w:color w:val="FF0000"/>
          <w:sz w:val="20"/>
          <w:szCs w:val="2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>10.06.2023 по 10.06.2024</w:t>
      </w:r>
    </w:p>
    <w:tbl>
      <w:tblPr>
        <w:tblW w:w="9602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01"/>
        <w:gridCol w:w="1817"/>
        <w:gridCol w:w="999"/>
        <w:gridCol w:w="998"/>
        <w:gridCol w:w="998"/>
        <w:gridCol w:w="897"/>
        <w:gridCol w:w="897"/>
        <w:gridCol w:w="898"/>
        <w:gridCol w:w="896"/>
      </w:tblGrid>
      <w:tr>
        <w:trPr>
          <w:trHeight w:val="5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10.06.2023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10.06.2024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BF7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BF7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>
        <w:trPr>
          <w:trHeight w:val="11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Велижский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-7,83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Вяземский 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Гагаринскийр-он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Глинковский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-2,22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-2,22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Демидовский 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-0,65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Дорогобужский 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-5,38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Духовщинский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-0,54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Ельнинский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9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Ершичский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-3,01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0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ind w:right="-2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Кардымовский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1"/>
              </w:numPr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Краснинский 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-2,64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2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Монастырщинский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3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Новодугинский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4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Починковский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-4,03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5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Рославльский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-0,78</w:t>
            </w:r>
          </w:p>
        </w:tc>
      </w:tr>
      <w:tr>
        <w:trPr>
          <w:trHeight w:val="17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Руднянский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-3,36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7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Сафоновский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8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Смоленский 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9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Сычёвский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-1,64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0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Тёмкинский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5,26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1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Угранский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-1,85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2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Хиславичский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3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Холм-Жирковский 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-2,02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4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Шумячский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-4,32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5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Ярцевский р-он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-0,49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6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г. Десногорск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>
        <w:trPr>
          <w:trHeight w:val="64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7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21177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21080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-0,46</w:t>
            </w:r>
          </w:p>
        </w:tc>
      </w:tr>
      <w:tr>
        <w:trPr>
          <w:trHeight w:val="284" w:hRule="atLeast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right="-14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39233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39299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*прирост в % посчитан как среднее значение по Смоленской области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 данным ФНС России количество субъектов МСП, осуществляющих деятельность на территории Демидовского района с июня 2023 г. по июнь 2024г., уменьшилось на 2 единицы или на 0,65% и равно 305 единицам, что является 17 показателем среди 27 муниципальных образований Смоленской области. В целом, на территории Смоленской области показатель числа зарегистрированных субъектов малого и среднего предпринимательства увеличился в процентном отношении на 0,17% или на 66 единиц. Районами с наиболее положительной динамикой являются: Гагаринский район (+28 единиц или 1,88%), г.Десногорск (+15 единиц или 2,74%), Сафоновский район (+46 единиц или 2,93%), Смоленский район (+195 единиц или 7,63%), Тёмкинский район (+7 единиц или 5,26%), и  Хиславичский район (+29 единицы или 16,20%). 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Таблица 1. Структура малого и среднего предпринимательства в муниципальном образовании по видам деятельности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За прошедший календарный год существенных изменений в структуре малого и среднего предпринимательства по видам деятельности не произошло.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 xml:space="preserve">Таблица 4. Структура малого и среднего предпринимательства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>в муниципальном образовании по видам деятельности</w:t>
      </w:r>
    </w:p>
    <w:tbl>
      <w:tblPr>
        <w:tblW w:w="959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0"/>
        <w:gridCol w:w="1125"/>
        <w:gridCol w:w="1136"/>
        <w:gridCol w:w="1008"/>
        <w:gridCol w:w="1007"/>
      </w:tblGrid>
      <w:tr>
        <w:trPr>
          <w:trHeight w:val="300" w:hRule="atLeast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10.06.2024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64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-2,99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>
        <w:trPr>
          <w:trHeight w:val="64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-4,87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22,22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64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 данным Единого реестра субъектов МСП шестью отраслями, в которых отмечено увеличение числа занятых субъектов МСП с начала года, стали: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- образование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(+ 1 единица или 100%);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- деятельность по операциям с недвижимым имуществом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(+1 единица или 11,11%);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транспортировка и хранение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(+2 единицы или 2,90%);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деятельность в области информации и связи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(+1 единица или 50%);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обрабатывающие производства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(+2 единицы или 5,88%);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предоставление прочих видов услуг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(+2 или 22,22%).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 двенадцати видам деятельности динамика отсутствует, снижение числа субъектов МСП в рассматриваемом периоде наблюдается по видам экономической деятельности: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торговля оптовая и розничная; ремонт автотранспортных средств и мотоциклов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на 5 единиц (2,99%),  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ельское, лесное хозяйство, охота, рыболовство и рыбоводство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на 2 единицы (4,87%),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деятельность профессиональная, научная и техническая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на 1 единицу (5,0%).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Краткие итоги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Динамика количества субъектов МСП, осуществляющих деятельность в Демидовском районе в анализируемом периоде с 10 июня 2023 года по 10 июня 2024, соответствует тенденциям других районов Смоленской области.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 указанный период количество зарегистрированных субъектов МСП увеличилось в 8  из 27 районов Смоленской области, в одном из районов численность не изменилась, в оставшихся восемнадцати районах произошло уменьшение численности МСП, в том числе и в Демидовском районе на 0,65% (-2 единицы). Среднее значение по области в рассматриваемом периоде, характеризуется приростом количества субъектов МСП в размере 66 единиц или 0,17%.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Наибольший показатель роста числа субъектов МСП представлен следующими муниципальными образованиями: Гагаринский район (+28 единиц или 1,88%), г.Десногорск (+15 единиц или 2,74%), Сафоновский район (+46 единиц или 2,93%), Смоленский район (+195 единиц или 7,63%), Тёмкинский район (+7 единиц или 5,26%), и  Хиславичский район (+29 единицы или 16,20%).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Количество субъектов МСП в разрезе индивидуальных предпринимателей и юридических лиц изменениям подвержено незначительно и колеблется в пределах от 114 до 130 юридических лиц и от 275 до 299 индивидуальных предпринимателей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. 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Отсутствие значительного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налог по льготной ставке — 4 или 6%, легально вести бизнес и получать доход от подработок без рисков получить штраф за незаконную предпринимательскую деятельность.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торговля оптовая и розничная, ремонт автотранспортных средств и мотоциклов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транспортировка и хранение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строительство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обрабатывающие производства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сельское, лесное хозяйство, охота, рыболовство и рыбоводство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деятельность профессиональная, научная и техническая.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"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"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0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Docdata" w:customStyle="1">
    <w:name w:val="docdata"/>
    <w:basedOn w:val="Normal"/>
    <w:qFormat/>
    <w:rsid w:val="009e7d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9e7d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LibreOffice/24.2.3.2$Windows_X86_64 LibreOffice_project/433d9c2ded56988e8a90e6b2e771ee4e6a5ab2ba</Application>
  <AppVersion>15.0000</AppVersion>
  <Pages>3</Pages>
  <Words>1148</Words>
  <Characters>6665</Characters>
  <CharactersWithSpaces>7469</CharactersWithSpaces>
  <Paragraphs>406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2024-06-25T05:35:00Z</dcterms:created>
  <dc:creator>USER</dc:creator>
  <dc:description/>
  <dc:language>ru-RU</dc:language>
  <cp:lastModifiedBy/>
  <cp:lastPrinted>2024-06-25T05:36:00Z</cp:lastPrinted>
  <dcterms:modified xsi:type="dcterms:W3CDTF">2024-06-25T09:00:53Z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