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_rels/chart1.xml.rels" ContentType="application/vnd.openxmlformats-package.relationships+xml"/>
  <Override PartName="/word/charts/_rels/chart2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Microsoft_Excel_Worksheet1.xlsx" ContentType="application/vnd.openxmlformats-officedocument.spreadsheetml.sheet"/>
  <Override PartName="/word/embeddings/Microsoft_Excel_Worksheet.xlsx" ContentType="application/vnd.openxmlformats-officedocument.spreadsheetml.sheet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8080" w:leader="none"/>
        </w:tabs>
        <w:spacing w:lineRule="auto" w:line="240" w:before="0" w:after="0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>
      <w:pPr>
        <w:pStyle w:val="Normal"/>
        <w:tabs>
          <w:tab w:val="clear" w:pos="708"/>
          <w:tab w:val="left" w:pos="8080" w:leader="none"/>
        </w:tabs>
        <w:spacing w:lineRule="auto" w:line="240" w:before="0" w:after="0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(по данным Единого реестра малого и среднего предпринимательства)</w:t>
      </w:r>
    </w:p>
    <w:p>
      <w:pPr>
        <w:pStyle w:val="Normal"/>
        <w:tabs>
          <w:tab w:val="clear" w:pos="708"/>
          <w:tab w:val="left" w:pos="8080" w:leader="none"/>
        </w:tabs>
        <w:spacing w:lineRule="auto" w:line="240" w:before="0" w:after="0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tabs>
          <w:tab w:val="clear" w:pos="708"/>
          <w:tab w:val="left" w:pos="8080" w:leader="none"/>
        </w:tabs>
        <w:spacing w:lineRule="auto" w:line="240" w:before="0" w:after="0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муниципальное образование   «Демидовский муниципальный округ»  Смоленской области </w:t>
      </w:r>
    </w:p>
    <w:p>
      <w:pPr>
        <w:pStyle w:val="Normal"/>
        <w:tabs>
          <w:tab w:val="clear" w:pos="708"/>
          <w:tab w:val="left" w:pos="8080" w:leader="none"/>
        </w:tabs>
        <w:spacing w:lineRule="auto" w:line="240" w:before="0" w:after="0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tabs>
          <w:tab w:val="clear" w:pos="708"/>
          <w:tab w:val="left" w:pos="8080" w:leader="none"/>
        </w:tabs>
        <w:spacing w:lineRule="auto" w:line="240" w:before="0" w:after="0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cs="Times New Roman" w:ascii="Times New Roman" w:hAnsi="Times New Roman"/>
          <w:b/>
          <w:bCs/>
          <w:sz w:val="20"/>
          <w:szCs w:val="24"/>
        </w:rPr>
        <w:t xml:space="preserve">Количество субъектов МСП в районе в сравнении </w:t>
      </w:r>
    </w:p>
    <w:p>
      <w:pPr>
        <w:pStyle w:val="Normal"/>
        <w:tabs>
          <w:tab w:val="clear" w:pos="708"/>
          <w:tab w:val="left" w:pos="8080" w:leader="none"/>
        </w:tabs>
        <w:spacing w:lineRule="auto" w:line="240" w:before="0" w:after="0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cs="Times New Roman" w:ascii="Times New Roman" w:hAnsi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377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8"/>
        <w:gridCol w:w="2372"/>
        <w:gridCol w:w="1120"/>
        <w:gridCol w:w="1114"/>
        <w:gridCol w:w="1172"/>
        <w:gridCol w:w="1087"/>
        <w:gridCol w:w="1089"/>
        <w:gridCol w:w="997"/>
        <w:gridCol w:w="997"/>
      </w:tblGrid>
      <w:tr>
        <w:trPr>
          <w:trHeight w:val="5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10.10.2024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DEBF7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DEBF7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>
        <w:trPr>
          <w:trHeight w:val="6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Велижский округ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235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0,43%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3,52%</w:t>
            </w:r>
          </w:p>
        </w:tc>
      </w:tr>
      <w:tr>
        <w:trPr>
          <w:trHeight w:val="6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Вяземский округ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2480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2513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2 513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0,00%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33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1,33%</w:t>
            </w:r>
          </w:p>
        </w:tc>
      </w:tr>
      <w:tr>
        <w:trPr>
          <w:trHeight w:val="6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Гагаринский округ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sz w:val="20"/>
                <w:szCs w:val="20"/>
              </w:rPr>
              <w:t>1493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1 499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-5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-0,33%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6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0,40%</w:t>
            </w:r>
          </w:p>
        </w:tc>
      </w:tr>
      <w:tr>
        <w:trPr>
          <w:trHeight w:val="6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Глинковский округ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108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23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27,06%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19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21,35%</w:t>
            </w:r>
          </w:p>
        </w:tc>
      </w:tr>
      <w:tr>
        <w:trPr>
          <w:trHeight w:val="6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highlight w:val="cyan"/>
              </w:rPr>
              <w:t>Демидовский округ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sz w:val="20"/>
                <w:szCs w:val="20"/>
                <w:highlight w:val="cyan"/>
              </w:rPr>
              <w:t>300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cyan"/>
              </w:rPr>
              <w:t>300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cyan"/>
                <w:u w:val="none"/>
              </w:rPr>
              <w:t>311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cyan"/>
                <w:u w:val="none"/>
              </w:rPr>
              <w:t>11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cyan"/>
                <w:u w:val="none"/>
              </w:rPr>
              <w:t>3,67%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cyan"/>
                <w:u w:val="none"/>
              </w:rPr>
              <w:t>11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cyan"/>
                <w:u w:val="none"/>
              </w:rPr>
              <w:t>3,67%</w:t>
            </w:r>
          </w:p>
        </w:tc>
      </w:tr>
      <w:tr>
        <w:trPr>
          <w:trHeight w:val="6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Дорогобужский округ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624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634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663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29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4,57%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39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6,25%</w:t>
            </w:r>
          </w:p>
        </w:tc>
      </w:tr>
      <w:tr>
        <w:trPr>
          <w:trHeight w:val="6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Духовщинский округ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376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18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5,03%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24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6,82%</w:t>
            </w:r>
          </w:p>
        </w:tc>
      </w:tr>
      <w:tr>
        <w:trPr>
          <w:trHeight w:val="6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Ельнинский округ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284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19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7,17%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29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11,37%</w:t>
            </w:r>
          </w:p>
        </w:tc>
      </w:tr>
      <w:tr>
        <w:trPr>
          <w:trHeight w:val="6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Ершичский округ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124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-9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-6,77%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-9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-6,77%</w:t>
            </w:r>
          </w:p>
        </w:tc>
      </w:tr>
      <w:tr>
        <w:trPr>
          <w:trHeight w:val="6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Кардымовский округ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252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6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2,44%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11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4,56%</w:t>
            </w:r>
          </w:p>
        </w:tc>
      </w:tr>
      <w:tr>
        <w:trPr>
          <w:trHeight w:val="6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Краснинский округ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391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397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384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-13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-3,27%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-7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-1,79%</w:t>
            </w:r>
          </w:p>
        </w:tc>
      </w:tr>
      <w:tr>
        <w:trPr>
          <w:trHeight w:val="6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Монастырщинский округ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198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4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2,06%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11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5,88%</w:t>
            </w:r>
          </w:p>
        </w:tc>
      </w:tr>
      <w:tr>
        <w:trPr>
          <w:trHeight w:val="6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Новодугинский округ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195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1,04%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1,04%</w:t>
            </w:r>
          </w:p>
        </w:tc>
      </w:tr>
      <w:tr>
        <w:trPr>
          <w:trHeight w:val="6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Починковский округ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595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3,48%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24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4,20%</w:t>
            </w:r>
          </w:p>
        </w:tc>
      </w:tr>
      <w:tr>
        <w:trPr>
          <w:trHeight w:val="6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Рославльский округ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1781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1798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1 802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4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0,22%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21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1,18%</w:t>
            </w:r>
          </w:p>
        </w:tc>
      </w:tr>
      <w:tr>
        <w:trPr>
          <w:trHeight w:val="6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Руднянский округ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823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849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26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3,16%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38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4,69%</w:t>
            </w:r>
          </w:p>
        </w:tc>
      </w:tr>
      <w:tr>
        <w:trPr>
          <w:trHeight w:val="6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Сафоновский округ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1601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1621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1 636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15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0,93%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35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2,19%</w:t>
            </w:r>
          </w:p>
        </w:tc>
      </w:tr>
      <w:tr>
        <w:trPr>
          <w:trHeight w:val="6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Смоленский округ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2797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2876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3 001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125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4,35%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204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7,29%</w:t>
            </w:r>
          </w:p>
        </w:tc>
      </w:tr>
      <w:tr>
        <w:trPr>
          <w:trHeight w:val="6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Сычёвский округ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256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9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3,64%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16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6,67%</w:t>
            </w:r>
          </w:p>
        </w:tc>
      </w:tr>
      <w:tr>
        <w:trPr>
          <w:trHeight w:val="6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Тёмкинский округ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150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7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4,90%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9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6,38%</w:t>
            </w:r>
          </w:p>
        </w:tc>
      </w:tr>
      <w:tr>
        <w:trPr>
          <w:trHeight w:val="6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Угранский округ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263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0,38%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9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3,54%</w:t>
            </w:r>
          </w:p>
        </w:tc>
      </w:tr>
      <w:tr>
        <w:trPr>
          <w:trHeight w:val="6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Хиславичский округ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240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24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11,11%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33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15,94%</w:t>
            </w:r>
          </w:p>
        </w:tc>
      </w:tr>
      <w:tr>
        <w:trPr>
          <w:trHeight w:val="6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Холм-Жирковский округ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209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8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3,98%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11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5,56%</w:t>
            </w:r>
          </w:p>
        </w:tc>
      </w:tr>
      <w:tr>
        <w:trPr>
          <w:trHeight w:val="6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Шумячский округ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160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-1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-0,62%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-1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-0,62%</w:t>
            </w:r>
          </w:p>
        </w:tc>
      </w:tr>
      <w:tr>
        <w:trPr>
          <w:trHeight w:val="6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 xml:space="preserve">Ярцевский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1762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1804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1 845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41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2,27%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83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4,71%</w:t>
            </w:r>
          </w:p>
        </w:tc>
      </w:tr>
      <w:tr>
        <w:trPr>
          <w:trHeight w:val="65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565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547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-18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-3,19%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0,00%</w:t>
            </w:r>
          </w:p>
        </w:tc>
      </w:tr>
      <w:tr>
        <w:trPr>
          <w:trHeight w:val="64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20493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20921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20 944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23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0,11%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451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2,20%</w:t>
            </w:r>
          </w:p>
        </w:tc>
      </w:tr>
      <w:tr>
        <w:trPr>
          <w:trHeight w:val="64" w:hRule="atLeast"/>
        </w:trPr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ind w:right="-147"/>
              <w:contextualSpacing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38529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39639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2,88%</w:t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i/>
          <w:i/>
          <w:szCs w:val="24"/>
        </w:rPr>
      </w:pPr>
      <w:r>
        <w:rPr>
          <w:rFonts w:cs="Times New Roman" w:ascii="Times New Roman" w:hAnsi="Times New Roman"/>
          <w:b/>
          <w:i/>
          <w:szCs w:val="24"/>
        </w:rPr>
        <w:t>*-прирост в % посчитан как среднее значение по Смоленской области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 период с 10.10.2024 по 10.10.2025 число субъектов МСП увеличилось в 23 муниципальных образованиях. Наибольший рост наблюдается в г. Смоленск +451 ед. или 2,20%, Смоленском округе +204 ед. или 7,29%; Ярцевском округе +83 ед. или 4,71 %.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 начала 2025 года количество субъектов МСП увеличилось в 22 округах (Хиславичский округ +24 ед. или 11,11%, Смоленский округ +125 или 4,35%, Дорогобужский округ +29 ед. или 4,57%, Хиславичский округ +24 ед. или 11,11%). В 5 муниципальных округах наблюдается отрицательная динамика количества МСП. Наибольшее снижение в Ершичском округе на -9 ед. или -6,77%, Краснинском округе на -13 ед. или -3,27%, г. Десногорск на -18 ед. или -3,19%.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целом по области с начала 2025 года на 370 ед. или на 0,94 % увеличилось количество субъектов МСП, за год произошло увеличение на 1110 ед. или на 2,88%.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«Демидовский муниципальный округ» Смоленской области с 10.10.2024г. по 10.10.2025г. увеличилось на 11 ед. или на 3,67%, с начала 2025 года число субъектов МСП в округе увеличилось на 11 ед. или на 3,67%.</w:t>
      </w:r>
    </w:p>
    <w:p>
      <w:pPr>
        <w:pStyle w:val="Normal"/>
        <w:tabs>
          <w:tab w:val="clear" w:pos="708"/>
          <w:tab w:val="left" w:pos="8080" w:leader="none"/>
        </w:tabs>
        <w:spacing w:lineRule="auto" w:line="240" w:before="0" w:after="0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cs="Times New Roman" w:ascii="Times New Roman" w:hAnsi="Times New Roman"/>
          <w:b/>
          <w:bCs/>
          <w:sz w:val="20"/>
          <w:szCs w:val="24"/>
        </w:rPr>
        <w:t>Динамика количества субъектов МСП в</w:t>
      </w:r>
    </w:p>
    <w:p>
      <w:pPr>
        <w:pStyle w:val="Normal"/>
        <w:spacing w:lineRule="auto" w:line="240" w:before="0" w:after="0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cs="Times New Roman" w:ascii="Times New Roman" w:hAnsi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6"/>
        <w:gridCol w:w="1119"/>
        <w:gridCol w:w="1118"/>
        <w:gridCol w:w="1112"/>
        <w:gridCol w:w="1334"/>
        <w:gridCol w:w="1151"/>
        <w:gridCol w:w="1155"/>
        <w:gridCol w:w="1147"/>
      </w:tblGrid>
      <w:tr>
        <w:trPr>
          <w:trHeight w:val="20" w:hRule="atLeast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10.10.2024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1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1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>
        <w:trPr>
          <w:trHeight w:val="20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7,7</w:t>
            </w:r>
          </w:p>
        </w:tc>
      </w:tr>
      <w:tr>
        <w:trPr>
          <w:trHeight w:val="20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</w:tr>
      <w:tr>
        <w:trPr>
          <w:trHeight w:val="20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</w:tr>
      <w:tr>
        <w:trPr>
          <w:trHeight w:val="642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3,8</w:t>
            </w:r>
          </w:p>
        </w:tc>
      </w:tr>
      <w:tr>
        <w:trPr>
          <w:trHeight w:val="20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>
        <w:trPr>
          <w:trHeight w:val="20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</w:tr>
      <w:tr>
        <w:trPr>
          <w:trHeight w:val="20" w:hRule="atLeast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1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334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1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2,5</w:t>
            </w:r>
          </w:p>
        </w:tc>
      </w:tr>
      <w:tr>
        <w:trPr>
          <w:trHeight w:val="20" w:hRule="atLeast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Как видно из представленной таблицы, за период с января по октябрь 2025 года </w:t>
      </w:r>
      <w:r>
        <w:rPr>
          <w:rFonts w:cs="Times New Roman" w:ascii="Times New Roman" w:hAnsi="Times New Roman"/>
          <w:bCs/>
          <w:sz w:val="24"/>
          <w:szCs w:val="24"/>
        </w:rPr>
        <w:t xml:space="preserve">в муниципальном образовании «Демидовский муниципальный округ» Смоленской области </w:t>
      </w:r>
      <w:r>
        <w:rPr>
          <w:rFonts w:cs="Times New Roman" w:ascii="Times New Roman" w:hAnsi="Times New Roman"/>
          <w:sz w:val="24"/>
          <w:szCs w:val="24"/>
        </w:rPr>
        <w:t xml:space="preserve">количество юридических лиц МСП увеличилось на 3 ед. или </w:t>
      </w:r>
      <w:r>
        <w:rPr>
          <w:rFonts w:cs="Times New Roman" w:ascii="Times New Roman" w:hAnsi="Times New Roman"/>
          <w:color w:val="000000"/>
          <w:sz w:val="24"/>
          <w:szCs w:val="24"/>
        </w:rPr>
        <w:t>5,8%,</w:t>
      </w:r>
      <w:r>
        <w:rPr>
          <w:rFonts w:cs="Times New Roman" w:ascii="Times New Roman" w:hAnsi="Times New Roman"/>
          <w:color w:val="EE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количество ИП увеличилось на 8 ед. или на 3,1</w:t>
      </w:r>
      <w:r>
        <w:rPr>
          <w:rFonts w:cs="Times New Roman" w:ascii="Times New Roman" w:hAnsi="Times New Roman"/>
          <w:color w:val="EE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%.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 период с 10.10.2024г. по 10.10.2025г. количество юридических увеличилось на 4 ед. или </w:t>
      </w:r>
      <w:r>
        <w:rPr>
          <w:rFonts w:cs="Times New Roman" w:ascii="Times New Roman" w:hAnsi="Times New Roman"/>
          <w:color w:val="000000"/>
          <w:sz w:val="24"/>
          <w:szCs w:val="24"/>
        </w:rPr>
        <w:t>7,7%,</w:t>
      </w:r>
      <w:r>
        <w:rPr>
          <w:rFonts w:cs="Times New Roman" w:ascii="Times New Roman" w:hAnsi="Times New Roman"/>
          <w:color w:val="EE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число индивидуальных предпринимателей увеличилось на 10 ед. или н</w:t>
      </w:r>
      <w:r>
        <w:rPr>
          <w:rFonts w:cs="Times New Roman" w:ascii="Times New Roman" w:hAnsi="Times New Roman"/>
          <w:color w:val="000000"/>
          <w:sz w:val="24"/>
          <w:szCs w:val="24"/>
        </w:rPr>
        <w:t>а 3,9%.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cs="Times New Roman" w:ascii="Times New Roman" w:hAnsi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cs="Times New Roman" w:ascii="Times New Roman" w:hAnsi="Times New Roman"/>
          <w:b/>
          <w:bCs/>
          <w:sz w:val="20"/>
          <w:szCs w:val="24"/>
        </w:rPr>
        <w:t>«Демидовский муниципальный округ» Смоленской области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6581775" cy="3640455"/>
            <wp:effectExtent l="0" t="0" r="0" b="0"/>
            <wp:docPr id="1" name="Диаграмма 1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 ИП и ЮЛ с 10 октября 2024 по 10 октября 2025 была значимо положительной за счет увеличения численности ИП. В силу специфики работы Единого реестра МСП в июле 2025 отмечено снижение.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Структура малого и среднего предпринимательства в муниципальном образовании</w:t>
      </w:r>
    </w:p>
    <w:p>
      <w:pPr>
        <w:pStyle w:val="Normal"/>
        <w:spacing w:lineRule="auto" w:line="240" w:before="0" w:after="0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«Демидовский муниципальный округ» Смоленской области по видам деятельности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/>
        <w:drawing>
          <wp:inline distT="0" distB="0" distL="0" distR="0">
            <wp:extent cx="6504305" cy="3787140"/>
            <wp:effectExtent l="0" t="0" r="0" b="0"/>
            <wp:docPr id="2" name="Диаграмма 4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cs="Times New Roman" w:ascii="Times New Roman" w:hAnsi="Times New Roman"/>
          <w:b/>
          <w:bCs/>
          <w:sz w:val="20"/>
          <w:szCs w:val="24"/>
        </w:rPr>
        <w:t>Структура малого и среднего предпринимательства в муниципальном образовании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cs="Times New Roman" w:ascii="Times New Roman" w:hAnsi="Times New Roman"/>
          <w:b/>
          <w:bCs/>
          <w:sz w:val="20"/>
          <w:szCs w:val="24"/>
        </w:rPr>
        <w:t>«Демидовский район» по видам деятельности</w:t>
      </w:r>
    </w:p>
    <w:tbl>
      <w:tblPr>
        <w:tblW w:w="11062" w:type="dxa"/>
        <w:jc w:val="lef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8"/>
        <w:gridCol w:w="1026"/>
        <w:gridCol w:w="1132"/>
        <w:gridCol w:w="1318"/>
        <w:gridCol w:w="1063"/>
        <w:gridCol w:w="994"/>
      </w:tblGrid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10.10.2025**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135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135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/>
              <w:t>0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57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56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-1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1,8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23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23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21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19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-2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9,6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12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17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4,2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4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0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с 69 по 73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0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1,7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0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100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77, 81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0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с 36 по 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212501558"/>
            <w:r>
              <w:rPr>
                <w:rFonts w:cs="Times New Roman"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  <w:bookmarkEnd w:id="0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2,5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trHeight w:val="20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15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18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trHeight w:val="217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311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3,7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iCs/>
          <w:szCs w:val="24"/>
        </w:rPr>
      </w:pPr>
      <w:r>
        <w:rPr>
          <w:rFonts w:cs="Times New Roman" w:ascii="Times New Roman" w:hAnsi="Times New Roman"/>
          <w:bCs/>
          <w:iCs/>
          <w:szCs w:val="24"/>
        </w:rPr>
        <w:t>*В пустых ячейках проставить ОКВЭД самостоятельно и суммарно отнести в «Прочие виды деятельности».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iCs/>
          <w:szCs w:val="24"/>
        </w:rPr>
      </w:pPr>
      <w:r>
        <w:rPr>
          <w:rFonts w:cs="Times New Roman" w:ascii="Times New Roman" w:hAnsi="Times New Roman"/>
          <w:bCs/>
          <w:iCs/>
          <w:szCs w:val="24"/>
        </w:rPr>
        <w:t>** Сортировка столбца по убыванию значений.</w:t>
      </w:r>
    </w:p>
    <w:p>
      <w:pPr>
        <w:pStyle w:val="ListParagraph"/>
        <w:spacing w:lineRule="auto" w:line="240" w:before="0" w:after="0"/>
        <w:ind w:left="1069"/>
        <w:contextualSpacing/>
        <w:jc w:val="both"/>
        <w:rPr>
          <w:rFonts w:ascii="Times New Roman" w:hAnsi="Times New Roman" w:cs="Times New Roman"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данным Единого реестра СМСП в муниципальном образовании «Демидовский район» отмечается увеличение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числа занятых субъектов МСП с начала года в таких отраслях, как: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строительство (+</w:t>
      </w:r>
      <w:r>
        <w:rPr>
          <w:rFonts w:cs="Times New Roman" w:ascii="Times New Roman" w:hAnsi="Times New Roman"/>
          <w:color w:val="000000"/>
          <w:sz w:val="24"/>
          <w:szCs w:val="24"/>
        </w:rPr>
        <w:t>5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ед., </w:t>
      </w:r>
      <w:r>
        <w:rPr>
          <w:rFonts w:cs="Times New Roman" w:ascii="Times New Roman" w:hAnsi="Times New Roman"/>
          <w:color w:val="000000"/>
          <w:sz w:val="24"/>
          <w:szCs w:val="24"/>
        </w:rPr>
        <w:t>+</w:t>
      </w:r>
      <w:r>
        <w:rPr>
          <w:rFonts w:cs="Times New Roman" w:ascii="Times New Roman" w:hAnsi="Times New Roman"/>
          <w:color w:val="000000"/>
          <w:sz w:val="24"/>
          <w:szCs w:val="24"/>
        </w:rPr>
        <w:t>4,2</w:t>
      </w:r>
      <w:r>
        <w:rPr>
          <w:rFonts w:cs="Times New Roman" w:ascii="Times New Roman" w:hAnsi="Times New Roman"/>
          <w:color w:val="000000"/>
          <w:sz w:val="24"/>
          <w:szCs w:val="24"/>
        </w:rPr>
        <w:t>%);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деятельность гостиниц и предприятий общественного питания (+2ед</w:t>
      </w:r>
      <w:r>
        <w:rPr>
          <w:rFonts w:cs="Times New Roman" w:ascii="Times New Roman" w:hAnsi="Times New Roman"/>
          <w:color w:val="000000"/>
          <w:sz w:val="24"/>
          <w:szCs w:val="24"/>
        </w:rPr>
        <w:t>., +</w:t>
      </w:r>
      <w:r>
        <w:rPr>
          <w:rFonts w:cs="Times New Roman" w:ascii="Times New Roman" w:hAnsi="Times New Roman"/>
          <w:color w:val="000000"/>
          <w:sz w:val="24"/>
          <w:szCs w:val="24"/>
        </w:rPr>
        <w:t>4</w:t>
      </w:r>
      <w:r>
        <w:rPr>
          <w:rFonts w:cs="Times New Roman" w:ascii="Times New Roman" w:hAnsi="Times New Roman"/>
          <w:color w:val="000000"/>
          <w:sz w:val="24"/>
          <w:szCs w:val="24"/>
        </w:rPr>
        <w:t>%);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</w:t>
      </w:r>
      <w:r>
        <w:rPr>
          <w:color w:val="000000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Деятельность в области здравоохранения и социальных услуг (+1ед., </w:t>
      </w:r>
      <w:r>
        <w:rPr>
          <w:rFonts w:cs="Times New Roman" w:ascii="Times New Roman" w:hAnsi="Times New Roman"/>
          <w:color w:val="000000"/>
          <w:sz w:val="24"/>
          <w:szCs w:val="24"/>
        </w:rPr>
        <w:t>2,5</w:t>
      </w:r>
      <w:r>
        <w:rPr>
          <w:rFonts w:cs="Times New Roman" w:ascii="Times New Roman" w:hAnsi="Times New Roman"/>
          <w:color w:val="000000"/>
          <w:sz w:val="24"/>
          <w:szCs w:val="24"/>
        </w:rPr>
        <w:t>%);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Предоставление услуг парикмахерскими и салонами красоты (+1ед., </w:t>
      </w:r>
      <w:r>
        <w:rPr>
          <w:rFonts w:cs="Times New Roman" w:ascii="Times New Roman" w:hAnsi="Times New Roman"/>
          <w:color w:val="000000"/>
          <w:sz w:val="24"/>
          <w:szCs w:val="24"/>
        </w:rPr>
        <w:t>1,7</w:t>
      </w:r>
      <w:r>
        <w:rPr>
          <w:rFonts w:cs="Times New Roman" w:ascii="Times New Roman" w:hAnsi="Times New Roman"/>
          <w:color w:val="000000"/>
          <w:sz w:val="24"/>
          <w:szCs w:val="24"/>
        </w:rPr>
        <w:t>%);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</w:t>
      </w:r>
      <w:r>
        <w:rPr>
          <w:color w:val="000000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деятельность в области информации и связи (+1ед., </w:t>
      </w:r>
      <w:r>
        <w:rPr>
          <w:rFonts w:cs="Times New Roman" w:ascii="Times New Roman" w:hAnsi="Times New Roman"/>
          <w:color w:val="000000"/>
          <w:sz w:val="24"/>
          <w:szCs w:val="24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</w:rPr>
        <w:t>%).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7 видам экономической деятельности наблюдается отсутствие динамики, по 2 – отрицательная динамика.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4"/>
        <w:gridCol w:w="712"/>
        <w:gridCol w:w="707"/>
        <w:gridCol w:w="712"/>
        <w:gridCol w:w="849"/>
        <w:gridCol w:w="899"/>
        <w:gridCol w:w="800"/>
        <w:gridCol w:w="899"/>
        <w:gridCol w:w="750"/>
        <w:gridCol w:w="955"/>
        <w:gridCol w:w="624"/>
      </w:tblGrid>
      <w:tr>
        <w:trPr>
          <w:trHeight w:val="57" w:hRule="atLeast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298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2025 к 2024</w:t>
            </w:r>
          </w:p>
        </w:tc>
      </w:tr>
      <w:tr>
        <w:trPr>
          <w:trHeight w:val="57" w:hRule="atLeast"/>
        </w:trPr>
        <w:tc>
          <w:tcPr>
            <w:tcW w:w="2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2025*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Прирост</w:t>
            </w:r>
          </w:p>
        </w:tc>
      </w:tr>
      <w:tr>
        <w:trPr>
          <w:trHeight w:val="57" w:hRule="atLeast"/>
        </w:trPr>
        <w:tc>
          <w:tcPr>
            <w:tcW w:w="2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>
        <w:trPr>
          <w:trHeight w:val="57" w:hRule="atLeast"/>
        </w:trPr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none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shd w:fill="FFFFFF" w:val="clear"/>
                <w:lang w:eastAsia="ru-RU"/>
              </w:rPr>
              <w:t>-3,3</w:t>
            </w:r>
          </w:p>
        </w:tc>
      </w:tr>
      <w:tr>
        <w:trPr>
          <w:trHeight w:val="57" w:hRule="atLeast"/>
        </w:trPr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eastAsia="ru-RU"/>
              </w:rPr>
              <w:t>3,6</w:t>
            </w:r>
          </w:p>
        </w:tc>
      </w:tr>
      <w:tr>
        <w:trPr>
          <w:trHeight w:val="57" w:hRule="atLeast"/>
        </w:trPr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hanging="0" w:left="0" w:right="-79"/>
              <w:contextualSpacing/>
              <w:jc w:val="center"/>
              <w:rPr/>
            </w:pPr>
            <w:r>
              <w:rPr/>
              <w:t>6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ind w:left="-108" w:right="-79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  <w:lang w:eastAsia="ru-RU"/>
              </w:rPr>
              <w:t>66,7</w:t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left="1069"/>
        <w:jc w:val="both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eastAsia="Calibri" w:cs="Times New Roman" w:ascii="Times New Roman" w:hAnsi="Times New Roman"/>
          <w:sz w:val="16"/>
          <w:szCs w:val="16"/>
        </w:rPr>
        <w:t>* По состоянию на каждое 10-е число месяца текущего года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10"/>
          <w:szCs w:val="10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По данным ФНС в Смоленской области по состоянию на 10.10.2024г. было зарегистрировано </w:t>
      </w:r>
      <w:r>
        <w:rPr>
          <w:rFonts w:eastAsia="Calibri" w:cs="Times New Roman" w:ascii="Times New Roman" w:hAnsi="Times New Roman"/>
          <w:sz w:val="24"/>
          <w:szCs w:val="24"/>
        </w:rPr>
        <w:t xml:space="preserve">39 </w:t>
      </w:r>
      <w:r>
        <w:rPr>
          <w:rFonts w:eastAsia="Calibri" w:cs="Times New Roman" w:ascii="Times New Roman" w:hAnsi="Times New Roman"/>
          <w:sz w:val="24"/>
          <w:szCs w:val="24"/>
        </w:rPr>
        <w:t xml:space="preserve">вновь созданных субъектов МСП, на 10.10.2025г. – </w:t>
      </w:r>
      <w:r>
        <w:rPr>
          <w:rFonts w:eastAsia="Calibri" w:cs="Times New Roman" w:ascii="Times New Roman" w:hAnsi="Times New Roman"/>
          <w:sz w:val="24"/>
          <w:szCs w:val="24"/>
        </w:rPr>
        <w:t>42</w:t>
      </w:r>
      <w:r>
        <w:rPr>
          <w:rFonts w:eastAsia="Calibri" w:cs="Times New Roman" w:ascii="Times New Roman" w:hAnsi="Times New Roman"/>
          <w:sz w:val="24"/>
          <w:szCs w:val="24"/>
        </w:rPr>
        <w:t xml:space="preserve"> (-</w:t>
      </w:r>
      <w:r>
        <w:rPr>
          <w:rFonts w:eastAsia="Calibri" w:cs="Times New Roman" w:ascii="Times New Roman" w:hAnsi="Times New Roman"/>
          <w:sz w:val="24"/>
          <w:szCs w:val="24"/>
        </w:rPr>
        <w:t>2</w:t>
      </w:r>
      <w:r>
        <w:rPr>
          <w:rFonts w:eastAsia="Calibri" w:cs="Times New Roman" w:ascii="Times New Roman" w:hAnsi="Times New Roman"/>
          <w:sz w:val="24"/>
          <w:szCs w:val="24"/>
        </w:rPr>
        <w:t xml:space="preserve"> ед., или </w:t>
      </w:r>
      <w:r>
        <w:rPr>
          <w:rFonts w:eastAsia="Calibri" w:cs="Times New Roman" w:ascii="Times New Roman" w:hAnsi="Times New Roman"/>
          <w:sz w:val="24"/>
          <w:szCs w:val="24"/>
        </w:rPr>
        <w:t>-</w:t>
      </w:r>
      <w:r>
        <w:rPr>
          <w:rFonts w:eastAsia="Calibri" w:cs="Times New Roman" w:ascii="Times New Roman" w:hAnsi="Times New Roman"/>
          <w:sz w:val="24"/>
          <w:szCs w:val="24"/>
        </w:rPr>
        <w:t>3,3</w:t>
      </w:r>
      <w:r>
        <w:rPr>
          <w:rFonts w:eastAsia="Calibri" w:cs="Times New Roman" w:ascii="Times New Roman" w:hAnsi="Times New Roman"/>
          <w:sz w:val="24"/>
          <w:szCs w:val="24"/>
        </w:rPr>
        <w:t>%)</w:t>
      </w:r>
      <w:r>
        <w:rPr>
          <w:rFonts w:eastAsia="Calibri" w:cs="Times New Roman" w:ascii="Times New Roman" w:hAnsi="Times New Roman"/>
          <w:sz w:val="24"/>
          <w:szCs w:val="24"/>
          <w:shd w:fill="FFFFFF" w:val="clear"/>
        </w:rPr>
        <w:t>,</w:t>
      </w:r>
      <w:r>
        <w:rPr>
          <w:rFonts w:eastAsia="Calibri" w:cs="Times New Roman" w:ascii="Times New Roman" w:hAnsi="Times New Roman"/>
          <w:sz w:val="24"/>
          <w:szCs w:val="24"/>
          <w:shd w:fill="FFFFFF" w:val="clear"/>
        </w:rPr>
        <w:t xml:space="preserve"> в</w:t>
      </w:r>
      <w:r>
        <w:rPr>
          <w:rFonts w:eastAsia="Calibri" w:cs="Times New Roman" w:ascii="Times New Roman" w:hAnsi="Times New Roman"/>
          <w:sz w:val="24"/>
          <w:szCs w:val="24"/>
          <w:shd w:fill="FFBF00" w:val="clear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shd w:fill="FFFFFF" w:val="clear"/>
        </w:rPr>
        <w:t xml:space="preserve">том числе по индивидуальным предпринимателям  </w:t>
      </w:r>
      <w:r>
        <w:rPr>
          <w:rFonts w:eastAsia="Calibri" w:cs="Times New Roman" w:ascii="Times New Roman" w:hAnsi="Times New Roman"/>
          <w:sz w:val="24"/>
          <w:szCs w:val="24"/>
          <w:shd w:fill="FFFFFF" w:val="clear"/>
        </w:rPr>
        <w:t xml:space="preserve">2 </w:t>
      </w:r>
      <w:r>
        <w:rPr>
          <w:rFonts w:eastAsia="Calibri" w:cs="Times New Roman" w:ascii="Times New Roman" w:hAnsi="Times New Roman"/>
          <w:sz w:val="24"/>
          <w:szCs w:val="24"/>
          <w:shd w:fill="FFFFFF" w:val="clear"/>
        </w:rPr>
        <w:t xml:space="preserve">ед. </w:t>
      </w:r>
      <w:r>
        <w:rPr>
          <w:rFonts w:eastAsia="Calibri" w:cs="Times New Roman" w:ascii="Times New Roman" w:hAnsi="Times New Roman"/>
          <w:sz w:val="24"/>
          <w:szCs w:val="24"/>
          <w:shd w:fill="FFFFFF" w:val="clear"/>
        </w:rPr>
        <w:t>(3,6%)по юридическим лицам  -4 ед. -66,7%)</w:t>
      </w:r>
      <w:r>
        <w:rPr>
          <w:rFonts w:eastAsia="Calibri" w:cs="Times New Roman" w:ascii="Times New Roman" w:hAnsi="Times New Roman"/>
          <w:sz w:val="24"/>
          <w:szCs w:val="24"/>
          <w:shd w:fill="FFFFFF" w:val="clear"/>
        </w:rPr>
        <w:t>.</w:t>
      </w:r>
    </w:p>
    <w:p>
      <w:pPr>
        <w:pStyle w:val="Normal"/>
        <w:shd w:val="clear" w:color="auto" w:fill="FFFFFF" w:themeFill="background1"/>
        <w:spacing w:lineRule="auto" w:line="240" w:before="0" w:after="0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cs="Times New Roman" w:ascii="Times New Roman" w:hAnsi="Times New Roman"/>
          <w:b/>
          <w:bCs/>
          <w:sz w:val="20"/>
          <w:szCs w:val="24"/>
        </w:rPr>
        <w:t>Количество вновь созданных субъектов МСП</w:t>
      </w:r>
    </w:p>
    <w:p>
      <w:pPr>
        <w:pStyle w:val="Normal"/>
        <w:shd w:val="clear" w:color="auto" w:fill="FFFFFF" w:themeFill="background1"/>
        <w:spacing w:lineRule="auto" w:line="240" w:before="0" w:after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0"/>
          <w:szCs w:val="24"/>
        </w:rPr>
        <w:t>по видам деятельности</w:t>
      </w:r>
    </w:p>
    <w:tbl>
      <w:tblPr>
        <w:tblStyle w:val="af6"/>
        <w:tblW w:w="103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3"/>
        <w:gridCol w:w="1073"/>
        <w:gridCol w:w="929"/>
        <w:gridCol w:w="1069"/>
        <w:gridCol w:w="992"/>
        <w:gridCol w:w="1074"/>
        <w:gridCol w:w="1272"/>
      </w:tblGrid>
      <w:tr>
        <w:trPr>
          <w:trHeight w:val="20" w:hRule="atLeast"/>
        </w:trPr>
        <w:tc>
          <w:tcPr>
            <w:tcW w:w="3963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Вновь созданные субъекты МСП</w:t>
            </w:r>
          </w:p>
        </w:tc>
        <w:tc>
          <w:tcPr>
            <w:tcW w:w="107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ОКВЭД*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10.10.2024</w:t>
            </w:r>
          </w:p>
        </w:tc>
        <w:tc>
          <w:tcPr>
            <w:tcW w:w="1069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Доля от общего количества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10.10.2025</w:t>
            </w:r>
          </w:p>
        </w:tc>
        <w:tc>
          <w:tcPr>
            <w:tcW w:w="1074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Доля от общего количества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Прирост</w:t>
            </w:r>
          </w:p>
        </w:tc>
      </w:tr>
      <w:tr>
        <w:trPr>
          <w:trHeight w:val="20" w:hRule="atLeast"/>
        </w:trPr>
        <w:tc>
          <w:tcPr>
            <w:tcW w:w="3963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7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en-US" w:eastAsia="en-US" w:bidi="ar-SA"/>
              </w:rPr>
              <w:t>45-47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FFFFFF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16</w:t>
            </w:r>
          </w:p>
        </w:tc>
        <w:tc>
          <w:tcPr>
            <w:tcW w:w="1069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0</w:t>
            </w:r>
          </w:p>
        </w:tc>
        <w:tc>
          <w:tcPr>
            <w:tcW w:w="1074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32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4</w:t>
            </w:r>
          </w:p>
        </w:tc>
      </w:tr>
      <w:tr>
        <w:trPr>
          <w:trHeight w:val="357" w:hRule="atLeast"/>
        </w:trPr>
        <w:tc>
          <w:tcPr>
            <w:tcW w:w="3963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ru-RU" w:eastAsia="en-US" w:bidi="ar-SA"/>
              </w:rPr>
              <w:t>Строительство</w:t>
            </w:r>
          </w:p>
        </w:tc>
        <w:tc>
          <w:tcPr>
            <w:tcW w:w="107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41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en-US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 43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FFFFFF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4</w:t>
            </w:r>
          </w:p>
        </w:tc>
        <w:tc>
          <w:tcPr>
            <w:tcW w:w="1069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17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4</w:t>
            </w:r>
          </w:p>
        </w:tc>
        <w:tc>
          <w:tcPr>
            <w:tcW w:w="1074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13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0</w:t>
            </w:r>
          </w:p>
        </w:tc>
      </w:tr>
      <w:tr>
        <w:trPr>
          <w:trHeight w:val="20" w:hRule="atLeast"/>
        </w:trPr>
        <w:tc>
          <w:tcPr>
            <w:tcW w:w="3963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ru-RU" w:eastAsia="en-US" w:bidi="ar-SA"/>
              </w:rPr>
              <w:t>Транспортировка и хранение</w:t>
            </w:r>
          </w:p>
        </w:tc>
        <w:tc>
          <w:tcPr>
            <w:tcW w:w="107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49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FFFFFF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5</w:t>
            </w:r>
          </w:p>
        </w:tc>
        <w:tc>
          <w:tcPr>
            <w:tcW w:w="1069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24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5</w:t>
            </w:r>
          </w:p>
        </w:tc>
        <w:tc>
          <w:tcPr>
            <w:tcW w:w="1074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16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0</w:t>
            </w:r>
          </w:p>
        </w:tc>
      </w:tr>
      <w:tr>
        <w:trPr>
          <w:trHeight w:val="20" w:hRule="atLeast"/>
        </w:trPr>
        <w:tc>
          <w:tcPr>
            <w:tcW w:w="3963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Деятельность </w:t>
            </w:r>
            <w:r>
              <w:rPr>
                <w:rFonts w:eastAsia="Calibri" w:cs="Times New Roman" w:ascii="Times New Roman" w:hAnsi="Times New Roman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  <w:t>вспомогательная  прочая в сфере финансовых услуг, кроме страхования и пенсионного обеспечения</w:t>
            </w:r>
          </w:p>
        </w:tc>
        <w:tc>
          <w:tcPr>
            <w:tcW w:w="107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66-68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FFFFFF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4</w:t>
            </w:r>
          </w:p>
        </w:tc>
        <w:tc>
          <w:tcPr>
            <w:tcW w:w="1069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14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2</w:t>
            </w:r>
          </w:p>
        </w:tc>
        <w:tc>
          <w:tcPr>
            <w:tcW w:w="1074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7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-2</w:t>
            </w:r>
          </w:p>
        </w:tc>
      </w:tr>
      <w:tr>
        <w:trPr>
          <w:trHeight w:val="20" w:hRule="atLeast"/>
        </w:trPr>
        <w:tc>
          <w:tcPr>
            <w:tcW w:w="3963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Деятельность гостиниц и предприятий общественного питания</w:t>
            </w:r>
          </w:p>
        </w:tc>
        <w:tc>
          <w:tcPr>
            <w:tcW w:w="107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56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FFFFFF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2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10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2</w:t>
            </w:r>
          </w:p>
        </w:tc>
        <w:tc>
          <w:tcPr>
            <w:tcW w:w="1074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7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0</w:t>
            </w:r>
          </w:p>
        </w:tc>
      </w:tr>
      <w:tr>
        <w:trPr>
          <w:trHeight w:val="20" w:hRule="atLeast"/>
        </w:trPr>
        <w:tc>
          <w:tcPr>
            <w:tcW w:w="3963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ru-RU" w:eastAsia="en-US" w:bidi="ar-SA"/>
              </w:rPr>
              <w:t>Обрабатывающие производства</w:t>
            </w:r>
          </w:p>
        </w:tc>
        <w:tc>
          <w:tcPr>
            <w:tcW w:w="107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10. 16.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17.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en-US" w:eastAsia="en-US" w:bidi="ar-SA"/>
              </w:rPr>
              <w:t>22. 31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FFFFFF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3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10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3</w:t>
            </w:r>
          </w:p>
        </w:tc>
        <w:tc>
          <w:tcPr>
            <w:tcW w:w="1074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10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0</w:t>
            </w:r>
          </w:p>
        </w:tc>
      </w:tr>
      <w:tr>
        <w:trPr>
          <w:trHeight w:val="481" w:hRule="atLeast"/>
        </w:trPr>
        <w:tc>
          <w:tcPr>
            <w:tcW w:w="3963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ru-RU" w:eastAsia="en-US" w:bidi="ar-SA"/>
              </w:rPr>
              <w:t>Деятельность в области информации и связи</w:t>
            </w:r>
          </w:p>
        </w:tc>
        <w:tc>
          <w:tcPr>
            <w:tcW w:w="107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62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en-US" w:eastAsia="en-US" w:bidi="ar-SA"/>
              </w:rPr>
              <w:t>. 63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FFFFFF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1,5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</w:t>
            </w:r>
          </w:p>
        </w:tc>
        <w:tc>
          <w:tcPr>
            <w:tcW w:w="1074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0,5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0</w:t>
            </w:r>
          </w:p>
        </w:tc>
      </w:tr>
      <w:tr>
        <w:trPr>
          <w:trHeight w:val="481" w:hRule="atLeast"/>
        </w:trPr>
        <w:tc>
          <w:tcPr>
            <w:tcW w:w="3963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Cs/>
                <w:kern w:val="0"/>
                <w:sz w:val="20"/>
                <w:szCs w:val="20"/>
                <w:lang w:val="ru-RU" w:eastAsia="en-US" w:bidi="ar-SA"/>
              </w:rPr>
              <w:t xml:space="preserve">Образование </w:t>
            </w:r>
          </w:p>
        </w:tc>
        <w:tc>
          <w:tcPr>
            <w:tcW w:w="107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FFBF00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FFBF00" w:val="clear"/>
                <w:lang w:val="ru-RU" w:eastAsia="en-US" w:bidi="ar-SA"/>
              </w:rPr>
            </w:r>
          </w:p>
        </w:tc>
        <w:tc>
          <w:tcPr>
            <w:tcW w:w="1069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</w:t>
            </w:r>
          </w:p>
        </w:tc>
        <w:tc>
          <w:tcPr>
            <w:tcW w:w="1074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0,5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</w:t>
            </w:r>
          </w:p>
        </w:tc>
      </w:tr>
      <w:tr>
        <w:trPr>
          <w:trHeight w:val="481" w:hRule="atLeast"/>
        </w:trPr>
        <w:tc>
          <w:tcPr>
            <w:tcW w:w="396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Предоставление услуг парикмахерскими и салонами красоты</w:t>
            </w:r>
          </w:p>
        </w:tc>
        <w:tc>
          <w:tcPr>
            <w:tcW w:w="1073" w:type="dxa"/>
            <w:tcBorders>
              <w:top w:val="nil"/>
            </w:tcBorders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96.02</w:t>
            </w:r>
          </w:p>
        </w:tc>
        <w:tc>
          <w:tcPr>
            <w:tcW w:w="92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FFFFFF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2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1,5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2</w:t>
            </w:r>
          </w:p>
        </w:tc>
        <w:tc>
          <w:tcPr>
            <w:tcW w:w="107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7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0</w:t>
            </w:r>
          </w:p>
        </w:tc>
      </w:tr>
      <w:tr>
        <w:trPr>
          <w:trHeight w:val="20" w:hRule="atLeast"/>
        </w:trPr>
        <w:tc>
          <w:tcPr>
            <w:tcW w:w="3963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Сельское, лесное хозяйство, охота, рыболовство и рыбоводство</w:t>
            </w:r>
          </w:p>
        </w:tc>
        <w:tc>
          <w:tcPr>
            <w:tcW w:w="107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01,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en-US" w:eastAsia="en-US" w:bidi="ar-SA"/>
              </w:rPr>
              <w:t>02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FFFFFF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2</w:t>
            </w:r>
          </w:p>
        </w:tc>
        <w:tc>
          <w:tcPr>
            <w:tcW w:w="1069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17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2</w:t>
            </w:r>
          </w:p>
        </w:tc>
        <w:tc>
          <w:tcPr>
            <w:tcW w:w="1074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7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0</w:t>
            </w:r>
          </w:p>
        </w:tc>
      </w:tr>
      <w:tr>
        <w:trPr>
          <w:trHeight w:val="20" w:hRule="atLeast"/>
        </w:trPr>
        <w:tc>
          <w:tcPr>
            <w:tcW w:w="396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ИТОГО</w:t>
            </w:r>
          </w:p>
        </w:tc>
        <w:tc>
          <w:tcPr>
            <w:tcW w:w="107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>39</w:t>
            </w:r>
          </w:p>
        </w:tc>
        <w:tc>
          <w:tcPr>
            <w:tcW w:w="1069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>100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>42</w:t>
            </w:r>
          </w:p>
        </w:tc>
        <w:tc>
          <w:tcPr>
            <w:tcW w:w="1074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>100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>3</w:t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* проставляется самостоятельно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Из таблицы видно, что 10.10.2025г. по сравнению с 10.10.2024г. среди субъектов МСП открыто больше предприятий в сфер</w:t>
      </w:r>
      <w:r>
        <w:rPr>
          <w:rFonts w:eastAsia="Calibri" w:cs="Times New Roman" w:ascii="Times New Roman" w:hAnsi="Times New Roman"/>
          <w:sz w:val="24"/>
          <w:szCs w:val="24"/>
        </w:rPr>
        <w:t>е торговля  прирост составил 4 ед. и 1 ед. в образовании</w:t>
      </w:r>
      <w:r>
        <w:rPr>
          <w:rFonts w:eastAsia="Calibri" w:cs="Times New Roman" w:ascii="Times New Roman" w:hAnsi="Times New Roman"/>
          <w:sz w:val="24"/>
          <w:szCs w:val="24"/>
        </w:rPr>
        <w:t xml:space="preserve">; 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Краткие итоги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 период с 10.10.2024г. по 10.10.2025г. динамика количества субъектов МСП, осуществляющих деятельность в Демидовском районе, соответствовала тенденциям других районов Смоленской области. За указанный период в Демидовском районе численность субъектов МСП увеличилось на </w:t>
      </w:r>
      <w:r>
        <w:rPr>
          <w:rFonts w:cs="Times New Roman" w:ascii="Times New Roman" w:hAnsi="Times New Roman"/>
          <w:sz w:val="24"/>
          <w:szCs w:val="24"/>
        </w:rPr>
        <w:t xml:space="preserve">11 </w:t>
      </w:r>
      <w:r>
        <w:rPr>
          <w:rFonts w:cs="Times New Roman" w:ascii="Times New Roman" w:hAnsi="Times New Roman"/>
          <w:sz w:val="24"/>
          <w:szCs w:val="24"/>
        </w:rPr>
        <w:t>ед.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начала 2025 года количество зарегистрированных субъектов МСП в Демидовском  районе увеличилось на 1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 ед.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>
        <w:rPr>
          <w:rFonts w:cs="Times New Roman" w:ascii="Times New Roman" w:hAnsi="Times New Roman"/>
          <w:sz w:val="24"/>
          <w:szCs w:val="24"/>
        </w:rPr>
        <w:t>49</w:t>
      </w:r>
      <w:r>
        <w:rPr>
          <w:rFonts w:cs="Times New Roman" w:ascii="Times New Roman" w:hAnsi="Times New Roman"/>
          <w:sz w:val="24"/>
          <w:szCs w:val="24"/>
        </w:rPr>
        <w:t xml:space="preserve"> до </w:t>
      </w:r>
      <w:r>
        <w:rPr>
          <w:rFonts w:cs="Times New Roman" w:ascii="Times New Roman" w:hAnsi="Times New Roman"/>
          <w:sz w:val="24"/>
          <w:szCs w:val="24"/>
        </w:rPr>
        <w:t>52</w:t>
      </w:r>
      <w:r>
        <w:rPr>
          <w:rFonts w:cs="Times New Roman" w:ascii="Times New Roman" w:hAnsi="Times New Roman"/>
          <w:sz w:val="24"/>
          <w:szCs w:val="24"/>
        </w:rPr>
        <w:t xml:space="preserve"> юридических лиц и от </w:t>
      </w:r>
      <w:r>
        <w:rPr>
          <w:rFonts w:cs="Times New Roman" w:ascii="Times New Roman" w:hAnsi="Times New Roman"/>
          <w:sz w:val="24"/>
          <w:szCs w:val="24"/>
        </w:rPr>
        <w:t>257</w:t>
      </w:r>
      <w:r>
        <w:rPr>
          <w:rFonts w:cs="Times New Roman" w:ascii="Times New Roman" w:hAnsi="Times New Roman"/>
          <w:sz w:val="24"/>
          <w:szCs w:val="24"/>
        </w:rPr>
        <w:t xml:space="preserve"> до </w:t>
      </w:r>
      <w:r>
        <w:rPr>
          <w:rFonts w:cs="Times New Roman" w:ascii="Times New Roman" w:hAnsi="Times New Roman"/>
          <w:sz w:val="24"/>
          <w:szCs w:val="24"/>
        </w:rPr>
        <w:t xml:space="preserve">259 </w:t>
      </w:r>
      <w:r>
        <w:rPr>
          <w:rFonts w:cs="Times New Roman" w:ascii="Times New Roman" w:hAnsi="Times New Roman"/>
          <w:sz w:val="24"/>
          <w:szCs w:val="24"/>
        </w:rPr>
        <w:t xml:space="preserve">индивидуальных предпринимателей.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>
        <w:rPr>
          <w:rFonts w:cs="Times New Roman" w:ascii="Times New Roman" w:hAnsi="Times New Roman"/>
          <w:bCs/>
          <w:sz w:val="24"/>
          <w:szCs w:val="24"/>
        </w:rPr>
        <w:t xml:space="preserve">налог по льготной ставке — 4 или 6% </w:t>
      </w:r>
      <w:r>
        <w:rPr>
          <w:rFonts w:cs="Times New Roman" w:ascii="Times New Roman" w:hAnsi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транспортировка и хранение; сельское, лесное хозяйство, охота, рыболовство и рыбоводство; строительство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 период с 10.09.2025 по 10.10.2025 в Едины реестр включены 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 вновь созданных субъектов МСП, в том числе по видам деятельности: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62.09 Деятельность, связанная с использованием вычислительной техники и информационных технологий, прочая;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ab/>
        <w:t>56.10 Деятельность ресторанов и услуги по доставке продуктов питания.</w:t>
      </w:r>
    </w:p>
    <w:p>
      <w:pPr>
        <w:pStyle w:val="Normal"/>
        <w:rPr>
          <w:rFonts w:ascii="Calibri" w:hAnsi="Calibri"/>
          <w:color w:val="000000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bCs/>
          <w:sz w:val="24"/>
          <w:szCs w:val="24"/>
        </w:rPr>
        <w:t xml:space="preserve">За период с 10.09.2025 по 10.10.2025 из реестра  </w:t>
      </w:r>
      <w:r>
        <w:rPr>
          <w:rFonts w:cs="Times New Roman" w:ascii="Times New Roman" w:hAnsi="Times New Roman"/>
          <w:bCs/>
          <w:sz w:val="24"/>
          <w:szCs w:val="24"/>
        </w:rPr>
        <w:t>исключенные отсутствуют.</w:t>
      </w:r>
    </w:p>
    <w:p>
      <w:pPr>
        <w:pStyle w:val="Normal"/>
        <w:spacing w:lineRule="auto" w:line="240" w:before="0" w:after="160"/>
        <w:rPr>
          <w:color w:val="000000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6" w:gutter="0" w:header="0" w:top="1134" w:footer="0" w:bottom="10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52e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434db7"/>
    <w:rPr/>
  </w:style>
  <w:style w:type="character" w:styleId="Style15" w:customStyle="1">
    <w:name w:val="Нижний колонтитул Знак"/>
    <w:basedOn w:val="DefaultParagraphFont"/>
    <w:uiPriority w:val="99"/>
    <w:qFormat/>
    <w:rsid w:val="00434db7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aa576f"/>
    <w:rPr>
      <w:sz w:val="16"/>
      <w:szCs w:val="16"/>
    </w:rPr>
  </w:style>
  <w:style w:type="character" w:styleId="Style16" w:customStyle="1">
    <w:name w:val="Текст примечания Знак"/>
    <w:basedOn w:val="DefaultParagraphFont"/>
    <w:uiPriority w:val="99"/>
    <w:semiHidden/>
    <w:qFormat/>
    <w:rsid w:val="00aa576f"/>
    <w:rPr>
      <w:sz w:val="20"/>
      <w:szCs w:val="20"/>
    </w:rPr>
  </w:style>
  <w:style w:type="character" w:styleId="Style17" w:customStyle="1">
    <w:name w:val="Тема примечания Знак"/>
    <w:basedOn w:val="Style16"/>
    <w:link w:val="annotationsubject"/>
    <w:uiPriority w:val="99"/>
    <w:semiHidden/>
    <w:qFormat/>
    <w:rsid w:val="00aa576f"/>
    <w:rPr>
      <w:b/>
      <w:bCs/>
      <w:sz w:val="20"/>
      <w:szCs w:val="20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f67169"/>
    <w:rPr>
      <w:rFonts w:ascii="Tahoma" w:hAnsi="Tahoma" w:cs="Tahoma"/>
      <w:sz w:val="16"/>
      <w:szCs w:val="16"/>
    </w:rPr>
  </w:style>
  <w:style w:type="paragraph" w:styleId="Style1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user" w:customStyle="1">
    <w:name w:val="Колонтитулы (user)"/>
    <w:basedOn w:val="Normal"/>
    <w:qFormat/>
    <w:pPr/>
    <w:rPr/>
  </w:style>
  <w:style w:type="paragraph" w:styleId="Style21" w:customStyle="1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434db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434db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Style16"/>
    <w:uiPriority w:val="99"/>
    <w:semiHidden/>
    <w:unhideWhenUsed/>
    <w:rsid w:val="00aa576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7"/>
    <w:uiPriority w:val="99"/>
    <w:semiHidden/>
    <w:unhideWhenUsed/>
    <w:qFormat/>
    <w:rsid w:val="00aa576f"/>
    <w:pPr/>
    <w:rPr>
      <w:b/>
      <w:bCs/>
    </w:rPr>
  </w:style>
  <w:style w:type="paragraph" w:styleId="ListParagraph">
    <w:name w:val="List Paragraph"/>
    <w:basedOn w:val="Normal"/>
    <w:uiPriority w:val="34"/>
    <w:qFormat/>
    <w:rsid w:val="00a06e7e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f6716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Style24" w:default="1">
    <w:name w:val="Без списка"/>
    <w:uiPriority w:val="99"/>
    <w:semiHidden/>
    <w:unhideWhenUsed/>
    <w:qFormat/>
  </w:style>
  <w:style w:type="numbering" w:styleId="user1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39"/>
    <w:rsid w:val="006e59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.xlsx"/>
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1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c:chart>
    <c:autoTitleDeleted val="1"/>
    <c:plotArea>
      <c:layout>
        <c:manualLayout>
          <c:layoutTarget val="inner"/>
          <c:xMode val="edge"/>
          <c:yMode val="edge"/>
          <c:x val="0.0583125"/>
          <c:y val="0.0394444444444444"/>
          <c:w val="0.941625"/>
          <c:h val="0.613555555555556"/>
        </c:manualLayout>
      </c:layout>
      <c:lineChart>
        <c:grouping val="standar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solidFill>
              <a:srgbClr val="4472c4"/>
            </a:solidFill>
            <a:ln cap="rnd" w="28440">
              <a:solidFill>
                <a:srgbClr val="4472c4"/>
              </a:solidFill>
              <a:round/>
            </a:ln>
          </c:spPr>
          <c:marker>
            <c:symbol val="circle"/>
            <c:size val="5"/>
            <c:spPr>
              <a:solidFill>
                <a:srgbClr val="4472c4"/>
              </a:solidFill>
            </c:spPr>
          </c:marker>
          <c:dLbls>
            <c:numFmt formatCode="General" sourceLinked="0"/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leaderLines>
              <c:spPr>
                <a:ln cap="rnd" w="28440">
                  <a:solidFill>
                    <a:srgbClr val="000000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categories</c:f>
              <c:numCache>
                <c:formatCode>m/d/yyyy</c:formatCode>
                <c:ptCount val="34"/>
                <c:pt idx="0">
                  <c:v>45575</c:v>
                </c:pt>
                <c:pt idx="1">
                  <c:v>45575</c:v>
                </c:pt>
                <c:pt idx="2">
                  <c:v>45606</c:v>
                </c:pt>
                <c:pt idx="3">
                  <c:v>45636</c:v>
                </c:pt>
                <c:pt idx="4">
                  <c:v>45667</c:v>
                </c:pt>
                <c:pt idx="5">
                  <c:v>45698</c:v>
                </c:pt>
                <c:pt idx="6">
                  <c:v>45726</c:v>
                </c:pt>
                <c:pt idx="7">
                  <c:v>45757</c:v>
                </c:pt>
                <c:pt idx="8">
                  <c:v>45787</c:v>
                </c:pt>
                <c:pt idx="9">
                  <c:v>45818</c:v>
                </c:pt>
                <c:pt idx="10">
                  <c:v>45848</c:v>
                </c:pt>
                <c:pt idx="11">
                  <c:v>45879</c:v>
                </c:pt>
                <c:pt idx="12">
                  <c:v>45910</c:v>
                </c:pt>
                <c:pt idx="13">
                  <c:v>45940</c:v>
                </c:pt>
              </c:numCache>
            </c:numRef>
          </c:cat>
          <c:val>
            <c:numRef>
              <c:f>0</c:f>
              <c:numCache>
                <c:formatCode>General</c:formatCode>
                <c:ptCount val="34"/>
                <c:pt idx="0">
                  <c:v>48</c:v>
                </c:pt>
                <c:pt idx="1">
                  <c:v>48</c:v>
                </c:pt>
                <c:pt idx="2">
                  <c:v>49</c:v>
                </c:pt>
                <c:pt idx="3">
                  <c:v>51</c:v>
                </c:pt>
                <c:pt idx="4">
                  <c:v>51</c:v>
                </c:pt>
                <c:pt idx="5">
                  <c:v>51</c:v>
                </c:pt>
                <c:pt idx="6">
                  <c:v>50</c:v>
                </c:pt>
                <c:pt idx="7">
                  <c:v>50</c:v>
                </c:pt>
                <c:pt idx="8">
                  <c:v>50</c:v>
                </c:pt>
                <c:pt idx="9">
                  <c:v>49</c:v>
                </c:pt>
                <c:pt idx="10">
                  <c:v>51</c:v>
                </c:pt>
                <c:pt idx="11">
                  <c:v>51</c:v>
                </c:pt>
                <c:pt idx="12">
                  <c:v>51</c:v>
                </c:pt>
                <c:pt idx="13">
                  <c:v>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solidFill>
              <a:srgbClr val="ed7d31"/>
            </a:solidFill>
            <a:ln cap="rnd" w="28440">
              <a:solidFill>
                <a:srgbClr val="ed7d31"/>
              </a:solidFill>
              <a:round/>
            </a:ln>
          </c:spPr>
          <c:marker>
            <c:symbol val="circle"/>
            <c:size val="5"/>
            <c:spPr>
              <a:solidFill>
                <a:srgbClr val="ed7d31"/>
              </a:solidFill>
            </c:spPr>
          </c:marker>
          <c:dLbls>
            <c:numFmt formatCode="General" sourceLinked="0"/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leaderLines>
              <c:spPr>
                <a:ln cap="rnd" w="28440">
                  <a:solidFill>
                    <a:srgbClr val="000000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categories</c:f>
              <c:numCache>
                <c:formatCode>m/d/yyyy</c:formatCode>
                <c:ptCount val="34"/>
                <c:pt idx="0">
                  <c:v>45575</c:v>
                </c:pt>
                <c:pt idx="1">
                  <c:v>45575</c:v>
                </c:pt>
                <c:pt idx="2">
                  <c:v>45606</c:v>
                </c:pt>
                <c:pt idx="3">
                  <c:v>45636</c:v>
                </c:pt>
                <c:pt idx="4">
                  <c:v>45667</c:v>
                </c:pt>
                <c:pt idx="5">
                  <c:v>45698</c:v>
                </c:pt>
                <c:pt idx="6">
                  <c:v>45726</c:v>
                </c:pt>
                <c:pt idx="7">
                  <c:v>45757</c:v>
                </c:pt>
                <c:pt idx="8">
                  <c:v>45787</c:v>
                </c:pt>
                <c:pt idx="9">
                  <c:v>45818</c:v>
                </c:pt>
                <c:pt idx="10">
                  <c:v>45848</c:v>
                </c:pt>
                <c:pt idx="11">
                  <c:v>45879</c:v>
                </c:pt>
                <c:pt idx="12">
                  <c:v>45910</c:v>
                </c:pt>
                <c:pt idx="13">
                  <c:v>45940</c:v>
                </c:pt>
              </c:numCache>
            </c:numRef>
          </c:cat>
          <c:val>
            <c:numRef>
              <c:f>1</c:f>
              <c:numCache>
                <c:formatCode>General</c:formatCode>
                <c:ptCount val="34"/>
                <c:pt idx="0">
                  <c:v>252</c:v>
                </c:pt>
                <c:pt idx="1">
                  <c:v>257</c:v>
                </c:pt>
                <c:pt idx="2">
                  <c:v>256</c:v>
                </c:pt>
                <c:pt idx="3">
                  <c:v>249</c:v>
                </c:pt>
                <c:pt idx="4">
                  <c:v>251</c:v>
                </c:pt>
                <c:pt idx="5">
                  <c:v>250</c:v>
                </c:pt>
                <c:pt idx="6">
                  <c:v>256</c:v>
                </c:pt>
                <c:pt idx="7">
                  <c:v>257</c:v>
                </c:pt>
                <c:pt idx="8">
                  <c:v>257</c:v>
                </c:pt>
                <c:pt idx="9">
                  <c:v>241</c:v>
                </c:pt>
                <c:pt idx="10">
                  <c:v>250</c:v>
                </c:pt>
                <c:pt idx="11">
                  <c:v>249</c:v>
                </c:pt>
                <c:pt idx="12">
                  <c:v>253</c:v>
                </c:pt>
                <c:pt idx="13">
                  <c:v>259</c:v>
                </c:pt>
              </c:numCache>
            </c:numRef>
          </c:val>
          <c:smooth val="0"/>
        </c:ser>
        <c:hiLowLines>
          <c:spPr>
            <a:ln w="0">
              <a:noFill/>
            </a:ln>
          </c:spPr>
        </c:hiLowLines>
        <c:marker val="1"/>
        <c:axId val="62660890"/>
        <c:axId val="60093052"/>
      </c:lineChart>
      <c:dateAx>
        <c:axId val="62660890"/>
        <c:scaling>
          <c:orientation val="minMax"/>
          <c:max val="45940"/>
          <c:min val="45575"/>
        </c:scaling>
        <c:delete val="0"/>
        <c:axPos val="b"/>
        <c:numFmt formatCode="m/d/yyyy" sourceLinked="0"/>
        <c:majorTickMark val="out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trike="noStrike" u="none">
                <a:solidFill>
                  <a:srgbClr val="595959"/>
                </a:solidFill>
                <a:uFillTx/>
                <a:latin typeface="Calibri"/>
              </a:defRPr>
            </a:pPr>
          </a:p>
        </c:txPr>
        <c:crossAx val="60093052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  <c:noMultiLvlLbl val="0"/>
      </c:dateAx>
      <c:valAx>
        <c:axId val="60093052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trike="noStrike" u="none">
                <a:solidFill>
                  <a:srgbClr val="595959"/>
                </a:solidFill>
                <a:uFillTx/>
                <a:latin typeface="Calibri"/>
              </a:defRPr>
            </a:pPr>
          </a:p>
        </c:txPr>
        <c:crossAx val="62660890"/>
        <c:crosses val="autoZero"/>
        <c:crossBetween val="midCat"/>
      </c:valAx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b="0" sz="900" strike="noStrike" u="none">
              <a:solidFill>
                <a:srgbClr val="595959"/>
              </a:solidFill>
              <a:uFillTx/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c:chart>
    <c:title>
      <c:tx>
        <c:rich>
          <a:bodyPr rot="0"/>
          <a:lstStyle/>
          <a:p>
            <a:pPr>
              <a:defRPr b="0" sz="1300" strike="noStrike" u="none">
                <a:uFillTx/>
                <a:latin typeface="Arial"/>
              </a:defRPr>
            </a:pPr>
            <a:r>
              <a:rPr b="0" lang="ru-RU" sz="1400" strike="noStrike" u="none">
                <a:solidFill>
                  <a:srgbClr val="595959"/>
                </a:solidFill>
                <a:uFillTx/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200697404106935"/>
          <c:y val="0.000570396425515734"/>
        </c:manualLayout>
      </c:layout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39625"/>
          <c:y val="0.154555555555556"/>
          <c:w val="0.4975"/>
          <c:h val="0.762888888888889"/>
        </c:manualLayout>
      </c:layout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Ряд1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explosion val="0"/>
          <c:dPt>
            <c:idx val="0"/>
            <c:explosion val="1"/>
            <c:spPr>
              <a:solidFill>
                <a:srgbClr val="4472c4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explosion val="1"/>
            <c:spPr>
              <a:solidFill>
                <a:srgbClr val="ed7d31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2"/>
            <c:explosion val="1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3"/>
            <c:explosion val="1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4"/>
            <c:explosion val="1"/>
            <c:spPr>
              <a:solidFill>
                <a:srgbClr val="5b9bd5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5"/>
            <c:explosion val="1"/>
            <c:spPr>
              <a:solidFill>
                <a:srgbClr val="70ad47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6"/>
            <c:explosion val="1"/>
            <c:spPr>
              <a:solidFill>
                <a:srgbClr val="264478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7"/>
            <c:explosion val="1"/>
            <c:spPr>
              <a:solidFill>
                <a:srgbClr val="ed7d31"/>
              </a:solidFill>
              <a:ln w="0">
                <a:noFill/>
              </a:ln>
            </c:spPr>
          </c:dPt>
          <c:dPt>
            <c:idx val="8"/>
            <c:explosion val="1"/>
            <c:spPr>
              <a:solidFill>
                <a:srgbClr val="a5a5a5"/>
              </a:solidFill>
              <a:ln w="0">
                <a:noFill/>
              </a:ln>
            </c:spPr>
          </c:dPt>
          <c:dPt>
            <c:idx val="9"/>
            <c:explosion val="1"/>
            <c:spPr>
              <a:solidFill>
                <a:srgbClr val="ffc000"/>
              </a:solidFill>
              <a:ln w="0">
                <a:noFill/>
              </a:ln>
            </c:spPr>
          </c:dPt>
          <c:dPt>
            <c:idx val="10"/>
            <c:explosion val="1"/>
            <c:spPr>
              <a:solidFill>
                <a:srgbClr val="5b9bd5"/>
              </a:solidFill>
              <a:ln w="0">
                <a:noFill/>
              </a:ln>
            </c:spPr>
          </c:dPt>
          <c:dPt>
            <c:idx val="11"/>
            <c:explosion val="1"/>
            <c:spPr>
              <a:solidFill>
                <a:srgbClr val="70ad47"/>
              </a:solidFill>
              <a:ln w="0">
                <a:noFill/>
              </a:ln>
            </c:spPr>
          </c:dPt>
          <c:dPt>
            <c:idx val="12"/>
            <c:explosion val="1"/>
            <c:spPr>
              <a:solidFill>
                <a:srgbClr val="a7b4db"/>
              </a:solidFill>
              <a:ln w="0">
                <a:noFill/>
              </a:ln>
            </c:spPr>
          </c:dPt>
          <c:dPt>
            <c:idx val="13"/>
            <c:explosion val="1"/>
            <c:spPr>
              <a:solidFill>
                <a:srgbClr val="f3b8a4"/>
              </a:solidFill>
              <a:ln w="0">
                <a:noFill/>
              </a:ln>
            </c:spPr>
          </c:dPt>
          <c:dPt>
            <c:idx val="14"/>
            <c:explosion val="1"/>
            <c:spPr>
              <a:solidFill>
                <a:srgbClr val="cacaca"/>
              </a:solidFill>
              <a:ln w="0">
                <a:noFill/>
              </a:ln>
            </c:spPr>
          </c:dPt>
          <c:dPt>
            <c:idx val="15"/>
            <c:explosion val="1"/>
            <c:spPr>
              <a:solidFill>
                <a:srgbClr val="ffd8a1"/>
              </a:solidFill>
              <a:ln w="0">
                <a:noFill/>
              </a:ln>
            </c:spPr>
          </c:dPt>
          <c:dPt>
            <c:idx val="16"/>
            <c:explosion val="1"/>
            <c:spPr>
              <a:solidFill>
                <a:srgbClr val="adc5e4"/>
              </a:solidFill>
              <a:ln w="0">
                <a:noFill/>
              </a:ln>
            </c:spPr>
          </c:dPt>
          <c:dLbls>
            <c:numFmt formatCode="General" sourceLinked="1"/>
            <c:dLbl>
              <c:idx val="0"/>
              <c:numFmt formatCode="General" sourceLinked="1"/>
              <c:txPr>
                <a:bodyPr wrap="square"/>
                <a:lstStyle/>
                <a:p>
                  <a:pPr>
                    <a:defRPr b="1" sz="1000" strike="noStrike" u="none">
                      <a:solidFill>
                        <a:srgbClr val="40404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eparator>; </c:separator>
            </c:dLbl>
            <c:dLbl>
              <c:idx val="1"/>
              <c:numFmt formatCode="General" sourceLinked="1"/>
              <c:txPr>
                <a:bodyPr wrap="square"/>
                <a:lstStyle/>
                <a:p>
                  <a:pPr>
                    <a:defRPr b="1" sz="1000" strike="noStrike" u="none">
                      <a:solidFill>
                        <a:srgbClr val="40404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eparator>; </c:separator>
            </c:dLbl>
            <c:dLbl>
              <c:idx val="2"/>
              <c:numFmt formatCode="General" sourceLinked="1"/>
              <c:txPr>
                <a:bodyPr wrap="square"/>
                <a:lstStyle/>
                <a:p>
                  <a:pPr>
                    <a:defRPr b="1" sz="1000" strike="noStrike" u="none">
                      <a:solidFill>
                        <a:srgbClr val="40404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eparator>; </c:separator>
            </c:dLbl>
            <c:dLbl>
              <c:idx val="3"/>
              <c:numFmt formatCode="General" sourceLinked="1"/>
              <c:txPr>
                <a:bodyPr wrap="square"/>
                <a:lstStyle/>
                <a:p>
                  <a:pPr>
                    <a:defRPr b="1" sz="1000" strike="noStrike" u="none">
                      <a:solidFill>
                        <a:srgbClr val="40404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eparator>; </c:separator>
            </c:dLbl>
            <c:dLbl>
              <c:idx val="4"/>
              <c:numFmt formatCode="General" sourceLinked="1"/>
              <c:txPr>
                <a:bodyPr wrap="square"/>
                <a:lstStyle/>
                <a:p>
                  <a:pPr>
                    <a:defRPr b="1" sz="1000" strike="noStrike" u="none">
                      <a:solidFill>
                        <a:srgbClr val="40404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eparator>; </c:separator>
            </c:dLbl>
            <c:dLbl>
              <c:idx val="5"/>
              <c:numFmt formatCode="General" sourceLinked="1"/>
              <c:txPr>
                <a:bodyPr wrap="square"/>
                <a:lstStyle/>
                <a:p>
                  <a:pPr>
                    <a:defRPr b="1" sz="1000" strike="noStrike" u="none">
                      <a:solidFill>
                        <a:srgbClr val="40404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eparator>; </c:separator>
            </c:dLbl>
            <c:dLbl>
              <c:idx val="6"/>
              <c:numFmt formatCode="General" sourceLinked="1"/>
              <c:txPr>
                <a:bodyPr wrap="square"/>
                <a:lstStyle/>
                <a:p>
                  <a:pPr>
                    <a:defRPr b="1" sz="1000" strike="noStrike" u="none">
                      <a:solidFill>
                        <a:srgbClr val="40404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eparator>; </c:separator>
            </c:dLbl>
            <c:dLbl>
              <c:idx val="7"/>
              <c:numFmt formatCode="General" sourceLinked="1"/>
              <c:txPr>
                <a:bodyPr wrap="square"/>
                <a:lstStyle/>
                <a:p>
                  <a:pPr>
                    <a:defRPr b="1" sz="1000" strike="noStrike" u="none">
                      <a:solidFill>
                        <a:srgbClr val="40404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eparator>; </c:separator>
            </c:dLbl>
            <c:dLbl>
              <c:idx val="8"/>
              <c:numFmt formatCode="General" sourceLinked="1"/>
              <c:txPr>
                <a:bodyPr wrap="square"/>
                <a:lstStyle/>
                <a:p>
                  <a:pPr>
                    <a:defRPr b="1" sz="1000" strike="noStrike" u="none">
                      <a:solidFill>
                        <a:srgbClr val="40404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eparator>; </c:separator>
            </c:dLbl>
            <c:dLbl>
              <c:idx val="9"/>
              <c:numFmt formatCode="General" sourceLinked="1"/>
              <c:txPr>
                <a:bodyPr wrap="square"/>
                <a:lstStyle/>
                <a:p>
                  <a:pPr>
                    <a:defRPr b="1" sz="1000" strike="noStrike" u="none">
                      <a:solidFill>
                        <a:srgbClr val="40404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eparator>; </c:separator>
            </c:dLbl>
            <c:dLbl>
              <c:idx val="10"/>
              <c:numFmt formatCode="General" sourceLinked="1"/>
              <c:txPr>
                <a:bodyPr wrap="square"/>
                <a:lstStyle/>
                <a:p>
                  <a:pPr>
                    <a:defRPr b="1" sz="1000" strike="noStrike" u="none">
                      <a:solidFill>
                        <a:srgbClr val="40404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eparator>; </c:separator>
            </c:dLbl>
            <c:dLbl>
              <c:idx val="11"/>
              <c:numFmt formatCode="General" sourceLinked="1"/>
              <c:txPr>
                <a:bodyPr wrap="square"/>
                <a:lstStyle/>
                <a:p>
                  <a:pPr>
                    <a:defRPr b="1" sz="1000" strike="noStrike" u="none">
                      <a:solidFill>
                        <a:srgbClr val="40404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eparator>; </c:separator>
            </c:dLbl>
            <c:dLbl>
              <c:idx val="12"/>
              <c:numFmt formatCode="General" sourceLinked="1"/>
              <c:txPr>
                <a:bodyPr wrap="square"/>
                <a:lstStyle/>
                <a:p>
                  <a:pPr>
                    <a:defRPr b="1" sz="1000" strike="noStrike" u="none">
                      <a:solidFill>
                        <a:srgbClr val="40404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eparator>; </c:separator>
            </c:dLbl>
            <c:dLbl>
              <c:idx val="13"/>
              <c:numFmt formatCode="General" sourceLinked="1"/>
              <c:txPr>
                <a:bodyPr wrap="square"/>
                <a:lstStyle/>
                <a:p>
                  <a:pPr>
                    <a:defRPr b="1" sz="1000" strike="noStrike" u="none">
                      <a:solidFill>
                        <a:srgbClr val="40404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eparator>; </c:separator>
            </c:dLbl>
            <c:dLbl>
              <c:idx val="14"/>
              <c:numFmt formatCode="General" sourceLinked="1"/>
              <c:txPr>
                <a:bodyPr wrap="square"/>
                <a:lstStyle/>
                <a:p>
                  <a:pPr>
                    <a:defRPr b="1" sz="1000" strike="noStrike" u="none">
                      <a:solidFill>
                        <a:srgbClr val="40404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eparator>; </c:separator>
            </c:dLbl>
            <c:dLbl>
              <c:idx val="15"/>
              <c:numFmt formatCode="General" sourceLinked="1"/>
              <c:txPr>
                <a:bodyPr wrap="square"/>
                <a:lstStyle/>
                <a:p>
                  <a:pPr>
                    <a:defRPr b="1" sz="1000" strike="noStrike" u="none">
                      <a:solidFill>
                        <a:srgbClr val="40404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eparator>; </c:separator>
            </c:dLbl>
            <c:dLbl>
              <c:idx val="16"/>
              <c:numFmt formatCode="General" sourceLinked="1"/>
              <c:txPr>
                <a:bodyPr wrap="square"/>
                <a:lstStyle/>
                <a:p>
                  <a:pPr>
                    <a:defRPr b="1" sz="1000" strike="noStrike" u="none">
                      <a:solidFill>
                        <a:srgbClr val="404040"/>
                      </a:solidFill>
                      <a:uFillTx/>
                      <a:latin typeface="Calibri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eparator>; </c:separator>
            </c:dLbl>
            <c:txPr>
              <a:bodyPr wrap="square"/>
              <a:lstStyle/>
              <a:p>
                <a:pPr>
                  <a:defRPr b="1" sz="1000" strike="noStrike" u="none">
                    <a:solidFill>
                      <a:srgbClr val="404040"/>
                    </a:solidFill>
                    <a:uFillTx/>
                    <a:latin typeface="Calibri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eparator>; </c:separator>
            <c:showLeaderLines val="1"/>
            <c:leaderLines>
              <c:spPr>
                <a:ln w="0">
                  <a:solidFill>
                    <a:srgbClr val="a6a6a6"/>
                  </a:solidFill>
                </a:ln>
              </c:spPr>
            </c:leaderLines>
          </c:dLbls>
          <c:cat>
            <c:strRef>
              <c:f>categories</c:f>
              <c:strCache>
                <c:ptCount val="17"/>
                <c:pt idx="0">
                  <c:v>Торговля оптовая и розничная; ремонт автотранспортных средств мотоциклов</c:v>
                </c:pt>
                <c:pt idx="1">
                  <c:v>Транспортировка и хранение</c:v>
                </c:pt>
                <c:pt idx="2">
                  <c:v>Сельское, лесное хозяйство, охота, рыболовство и рыбоводство</c:v>
                </c:pt>
                <c:pt idx="3">
                  <c:v>обрабатывающие производство</c:v>
                </c:pt>
                <c:pt idx="4">
                  <c:v>Строительство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по операция с недвижимым имуществом</c:v>
                </c:pt>
                <c:pt idx="7">
                  <c:v>Деятельность профессиональная, научная и техническая</c:v>
                </c:pt>
                <c:pt idx="8">
                  <c:v>Предоставление услуг парикмахерскими и салонами красоты</c:v>
                </c:pt>
                <c:pt idx="9">
                  <c:v>Обеспечение электрической энергией , газом паром; кондиционирование воздуха</c:v>
                </c:pt>
                <c:pt idx="10">
                  <c:v>Деятельность финансовая и страховая</c:v>
                </c:pt>
                <c:pt idx="11">
                  <c:v>Деятельность административная и сопутствующие дополнительные услуги</c:v>
                </c:pt>
                <c:pt idx="12">
                  <c:v>Водоснабжение; водоотведение, организация сбора и утилизация отходов, деятельность по ликвидации отходов</c:v>
                </c:pt>
                <c:pt idx="13">
                  <c:v>Образование</c:v>
                </c:pt>
                <c:pt idx="14">
                  <c:v>Деятельность в области здравоохранения и социальных услуг</c:v>
                </c:pt>
                <c:pt idx="15">
                  <c:v>Деятельность в области информации и связи</c:v>
                </c:pt>
                <c:pt idx="16">
                  <c:v>Предоставлление прочих видов услуг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7"/>
                <c:pt idx="0">
                  <c:v>135</c:v>
                </c:pt>
                <c:pt idx="1">
                  <c:v>56</c:v>
                </c:pt>
                <c:pt idx="2">
                  <c:v>23</c:v>
                </c:pt>
                <c:pt idx="3">
                  <c:v>19</c:v>
                </c:pt>
                <c:pt idx="4">
                  <c:v>17</c:v>
                </c:pt>
                <c:pt idx="5">
                  <c:v>7</c:v>
                </c:pt>
                <c:pt idx="6">
                  <c:v>5</c:v>
                </c:pt>
                <c:pt idx="7">
                  <c:v>3</c:v>
                </c:pt>
                <c:pt idx="8">
                  <c:v>7</c:v>
                </c:pt>
                <c:pt idx="9">
                  <c:v>0</c:v>
                </c:pt>
                <c:pt idx="10">
                  <c:v>2</c:v>
                </c:pt>
                <c:pt idx="11">
                  <c:v>4</c:v>
                </c:pt>
                <c:pt idx="12">
                  <c:v>0</c:v>
                </c:pt>
                <c:pt idx="13">
                  <c:v>4</c:v>
                </c:pt>
                <c:pt idx="14">
                  <c:v>5</c:v>
                </c:pt>
                <c:pt idx="15">
                  <c:v>6</c:v>
                </c:pt>
                <c:pt idx="16">
                  <c:v>18</c:v>
                </c:pt>
              </c:numCache>
            </c:numRef>
          </c:val>
        </c:ser>
        <c:firstSliceAng val="0"/>
      </c:pieChart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0.563987601018488"/>
          <c:y val="0.0686442289408633"/>
          <c:w val="0.421676076607993"/>
          <c:h val="0.843886670469671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b="0" sz="1000" strike="noStrike" u="none">
              <a:solidFill>
                <a:srgbClr val="000000"/>
              </a:solidFill>
              <a:uFillTx/>
              <a:latin typeface="Calibri"/>
            </a:defRPr>
          </a:pPr>
        </a:p>
      </c:txPr>
    </c:legend>
    <c:plotVisOnly val="1"/>
    <c:dispBlanksAs val="zero"/>
  </c:chart>
  <c:spPr>
    <a:noFill/>
    <a:ln w="9360">
      <a:noFill/>
    </a:ln>
  </c:spPr>
  <c:externalData r:id="rId1"/>
</c:chartSpace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B102B-2DE9-41B4-B8FB-3C6E2DFE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Application>LibreOffice/25.2.6.2$Windows_X86_64 LibreOffice_project/729c5bfe710f5eb71ed3bbde9e06a6065e9c6c5d</Application>
  <AppVersion>15.0000</AppVersion>
  <Pages>5</Pages>
  <Words>1674</Words>
  <Characters>9040</Characters>
  <CharactersWithSpaces>10118</CharactersWithSpaces>
  <Paragraphs>625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2025-10-21T11:08:00Z</dcterms:created>
  <dc:creator>Виноградов Никита Александрович</dc:creator>
  <dc:description/>
  <dc:language>ru-RU</dc:language>
  <cp:lastModifiedBy/>
  <cp:lastPrinted>2025-10-21T09:14:00Z</cp:lastPrinted>
  <dcterms:modified xsi:type="dcterms:W3CDTF">2025-10-28T11:53:20Z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