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C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5456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076B37">
        <w:rPr>
          <w:rFonts w:ascii="Times New Roman" w:hAnsi="Times New Roman"/>
          <w:b/>
          <w:sz w:val="28"/>
          <w:szCs w:val="28"/>
        </w:rPr>
        <w:t>4</w:t>
      </w:r>
      <w:r w:rsidRPr="00E54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CC5B3C" w:rsidRPr="00E5456D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C176F4">
        <w:rPr>
          <w:rFonts w:ascii="Times New Roman" w:hAnsi="Times New Roman"/>
          <w:b/>
          <w:sz w:val="28"/>
          <w:szCs w:val="28"/>
        </w:rPr>
        <w:t>2</w:t>
      </w:r>
      <w:r w:rsidR="00076B37">
        <w:rPr>
          <w:rFonts w:ascii="Times New Roman" w:hAnsi="Times New Roman"/>
          <w:b/>
          <w:sz w:val="28"/>
          <w:szCs w:val="28"/>
        </w:rPr>
        <w:t>2</w:t>
      </w:r>
      <w:r w:rsidR="00C176F4">
        <w:rPr>
          <w:rFonts w:ascii="Times New Roman" w:hAnsi="Times New Roman"/>
          <w:b/>
          <w:sz w:val="28"/>
          <w:szCs w:val="28"/>
        </w:rPr>
        <w:t xml:space="preserve"> </w:t>
      </w:r>
      <w:r w:rsidRPr="00E5456D">
        <w:rPr>
          <w:rFonts w:ascii="Times New Roman" w:hAnsi="Times New Roman"/>
          <w:b/>
          <w:sz w:val="28"/>
          <w:szCs w:val="28"/>
        </w:rPr>
        <w:t>год</w:t>
      </w:r>
    </w:p>
    <w:p w:rsidR="00CC5B3C" w:rsidRPr="00BB7BA7" w:rsidRDefault="00CC5B3C" w:rsidP="00CC5B3C">
      <w:pPr>
        <w:tabs>
          <w:tab w:val="left" w:pos="4536"/>
        </w:tabs>
        <w:jc w:val="both"/>
        <w:rPr>
          <w:i/>
          <w:sz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CB0DF4">
        <w:rPr>
          <w:rFonts w:ascii="Times New Roman" w:hAnsi="Times New Roman"/>
          <w:sz w:val="28"/>
          <w:szCs w:val="28"/>
        </w:rPr>
        <w:t>-20</w:t>
      </w:r>
      <w:r w:rsidR="00C176F4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4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4321B">
        <w:rPr>
          <w:rFonts w:ascii="Times New Roman" w:hAnsi="Times New Roman"/>
          <w:sz w:val="28"/>
          <w:szCs w:val="28"/>
        </w:rPr>
        <w:t>муниципальная программа) за 20</w:t>
      </w:r>
      <w:r w:rsidR="0051303B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20.10.2017 </w:t>
      </w:r>
      <w:r w:rsidRPr="00BB7BA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823 </w:t>
      </w:r>
      <w:r w:rsidRPr="00BB7BA7">
        <w:rPr>
          <w:rFonts w:ascii="Times New Roman" w:hAnsi="Times New Roman"/>
          <w:i/>
          <w:sz w:val="28"/>
        </w:rPr>
        <w:t>(в редакции постановлений от 1</w:t>
      </w:r>
      <w:r>
        <w:rPr>
          <w:rFonts w:ascii="Times New Roman" w:hAnsi="Times New Roman"/>
          <w:i/>
          <w:sz w:val="28"/>
        </w:rPr>
        <w:t>4</w:t>
      </w:r>
      <w:r w:rsidRPr="00BB7BA7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03</w:t>
      </w:r>
      <w:r w:rsidRPr="00BB7BA7">
        <w:rPr>
          <w:rFonts w:ascii="Times New Roman" w:hAnsi="Times New Roman"/>
          <w:i/>
          <w:sz w:val="28"/>
        </w:rPr>
        <w:t>.201</w:t>
      </w:r>
      <w:r>
        <w:rPr>
          <w:rFonts w:ascii="Times New Roman" w:hAnsi="Times New Roman"/>
          <w:i/>
          <w:sz w:val="28"/>
        </w:rPr>
        <w:t>8 № 154</w:t>
      </w:r>
      <w:r w:rsidR="0024321B">
        <w:rPr>
          <w:rFonts w:ascii="Times New Roman" w:hAnsi="Times New Roman"/>
          <w:i/>
          <w:sz w:val="28"/>
        </w:rPr>
        <w:t>; от 20.02.2019 № 99</w:t>
      </w:r>
      <w:r w:rsidR="0051303B">
        <w:rPr>
          <w:rFonts w:ascii="Times New Roman" w:hAnsi="Times New Roman"/>
          <w:i/>
          <w:sz w:val="28"/>
        </w:rPr>
        <w:t>; 12.03.2020 № 170</w:t>
      </w:r>
      <w:r w:rsidR="00C176F4">
        <w:rPr>
          <w:rFonts w:ascii="Times New Roman" w:hAnsi="Times New Roman"/>
          <w:i/>
          <w:sz w:val="28"/>
        </w:rPr>
        <w:t>; 16.03.2021 № 146</w:t>
      </w:r>
      <w:r w:rsidR="00076B37">
        <w:rPr>
          <w:rFonts w:ascii="Times New Roman" w:hAnsi="Times New Roman"/>
          <w:i/>
          <w:sz w:val="28"/>
        </w:rPr>
        <w:t>; 24.03.2022 № 177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</w:t>
      </w:r>
      <w:r w:rsidR="00C63C2A">
        <w:rPr>
          <w:rFonts w:ascii="Times New Roman" w:hAnsi="Times New Roman"/>
          <w:sz w:val="28"/>
          <w:szCs w:val="28"/>
        </w:rPr>
        <w:t>*</w:t>
      </w:r>
      <w:r w:rsidRPr="00F40CD6">
        <w:rPr>
          <w:rFonts w:ascii="Times New Roman" w:hAnsi="Times New Roman"/>
          <w:sz w:val="28"/>
          <w:szCs w:val="28"/>
        </w:rPr>
        <w:t xml:space="preserve"> и муниципальной программы в целом;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CC5B3C" w:rsidRPr="00284EC6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CC5B3C" w:rsidRPr="00F40CD6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CC5B3C" w:rsidRPr="00F40CD6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C5B3C" w:rsidRDefault="00076B37" w:rsidP="00076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5B3C"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56107A" w:rsidRDefault="0056107A" w:rsidP="0056107A">
      <w:pPr>
        <w:autoSpaceDE w:val="0"/>
        <w:autoSpaceDN w:val="0"/>
        <w:adjustRightInd w:val="0"/>
        <w:ind w:firstLine="540"/>
        <w:jc w:val="both"/>
      </w:pPr>
      <w:r>
        <w:t>* «подпрограмм» означает «Комплекс процессных мероприятий»</w:t>
      </w:r>
    </w:p>
    <w:p w:rsidR="00CC5B3C" w:rsidRPr="00F40CD6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программы входит одно основное мероприятие, имеющее </w:t>
      </w:r>
      <w:r w:rsidR="00E86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E86E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выполнение показател</w:t>
      </w:r>
      <w:r w:rsidR="00E86EEE">
        <w:rPr>
          <w:rFonts w:ascii="Times New Roman" w:hAnsi="Times New Roman"/>
          <w:sz w:val="28"/>
          <w:szCs w:val="28"/>
        </w:rPr>
        <w:t>я</w:t>
      </w:r>
      <w:r w:rsidR="0051303B">
        <w:rPr>
          <w:rFonts w:ascii="Times New Roman" w:hAnsi="Times New Roman"/>
          <w:sz w:val="28"/>
          <w:szCs w:val="28"/>
        </w:rPr>
        <w:t xml:space="preserve"> за 202</w:t>
      </w:r>
      <w:r w:rsidR="00076B37">
        <w:rPr>
          <w:rFonts w:ascii="Times New Roman" w:hAnsi="Times New Roman"/>
          <w:sz w:val="28"/>
          <w:szCs w:val="28"/>
        </w:rPr>
        <w:t>2 год</w:t>
      </w:r>
      <w:r>
        <w:rPr>
          <w:rFonts w:ascii="Times New Roman" w:hAnsi="Times New Roman"/>
          <w:sz w:val="28"/>
          <w:szCs w:val="28"/>
        </w:rPr>
        <w:t xml:space="preserve"> составило 100,0%.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E238CC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51303B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EC3F4D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31 800,00</w:t>
      </w:r>
      <w:r>
        <w:rPr>
          <w:rFonts w:ascii="Times New Roman" w:hAnsi="Times New Roman"/>
          <w:sz w:val="28"/>
          <w:szCs w:val="28"/>
        </w:rPr>
        <w:t>/</w:t>
      </w:r>
      <w:r w:rsidR="0051303B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31 800,00</w:t>
      </w:r>
      <w:r>
        <w:rPr>
          <w:rFonts w:ascii="Times New Roman" w:hAnsi="Times New Roman"/>
          <w:sz w:val="28"/>
          <w:szCs w:val="28"/>
        </w:rPr>
        <w:t>)*100=100,0%</w:t>
      </w:r>
      <w:r w:rsidRPr="00E238CC">
        <w:rPr>
          <w:rFonts w:ascii="Times New Roman" w:hAnsi="Times New Roman"/>
          <w:sz w:val="28"/>
          <w:szCs w:val="28"/>
        </w:rPr>
        <w:t>);</w:t>
      </w:r>
      <w:proofErr w:type="gramEnd"/>
    </w:p>
    <w:p w:rsidR="00CC5B3C" w:rsidRPr="00E238C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EC3F4D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6160F2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CC5B3C" w:rsidRPr="006160F2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51303B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31 800,00</w:t>
      </w:r>
      <w:r w:rsidRPr="00E238CC">
        <w:rPr>
          <w:rFonts w:ascii="Times New Roman" w:hAnsi="Times New Roman"/>
          <w:sz w:val="28"/>
          <w:szCs w:val="28"/>
        </w:rPr>
        <w:t>/</w:t>
      </w:r>
      <w:r w:rsidR="00EC3F4D">
        <w:rPr>
          <w:rFonts w:ascii="Times New Roman" w:hAnsi="Times New Roman"/>
          <w:sz w:val="28"/>
          <w:szCs w:val="28"/>
        </w:rPr>
        <w:t>43</w:t>
      </w:r>
      <w:r w:rsidR="00076B37">
        <w:rPr>
          <w:rFonts w:ascii="Times New Roman" w:hAnsi="Times New Roman"/>
          <w:sz w:val="28"/>
          <w:szCs w:val="28"/>
        </w:rPr>
        <w:t>1 800,00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B211DE" w:rsidRDefault="00CC5B3C" w:rsidP="00513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 xml:space="preserve"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</w:t>
      </w:r>
      <w:r w:rsidRPr="00B211DE">
        <w:rPr>
          <w:rFonts w:ascii="Times New Roman" w:hAnsi="Times New Roman"/>
          <w:sz w:val="28"/>
          <w:szCs w:val="28"/>
        </w:rPr>
        <w:lastRenderedPageBreak/>
        <w:t>средств местного и (или) областного, и (или) федерального бюджетов по следующей формуле:</w:t>
      </w:r>
    </w:p>
    <w:p w:rsidR="00CC5B3C" w:rsidRPr="00B211DE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CC5B3C" w:rsidRPr="00B02690" w:rsidRDefault="00CC5B3C" w:rsidP="0051303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CC5B3C" w:rsidRPr="00B02690" w:rsidRDefault="00CC5B3C" w:rsidP="00CC5B3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</w:t>
      </w:r>
      <w:r w:rsidR="00076B37">
        <w:rPr>
          <w:rFonts w:ascii="Times New Roman" w:hAnsi="Times New Roman"/>
          <w:sz w:val="28"/>
          <w:szCs w:val="28"/>
        </w:rPr>
        <w:t>4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p w:rsidR="00CC5B3C" w:rsidRPr="00010FBA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CC5B3C" w:rsidRPr="00A97DF0" w:rsidTr="00AA3260">
        <w:tc>
          <w:tcPr>
            <w:tcW w:w="568" w:type="dxa"/>
            <w:vMerge w:val="restart"/>
          </w:tcPr>
          <w:p w:rsidR="00CC5B3C" w:rsidRPr="00A97DF0" w:rsidRDefault="00CC5B3C" w:rsidP="00AA326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C5B3C" w:rsidRPr="00A97DF0" w:rsidRDefault="00CC5B3C" w:rsidP="00AA326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C5B3C" w:rsidRPr="00A97DF0" w:rsidTr="00AA3260">
        <w:tc>
          <w:tcPr>
            <w:tcW w:w="568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нормативно-правовой базы в сфере поддержки общественных некоммерческих организаций социальной направленности муниципального  образования «Демидовский район»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Повышение  активности  общественных некоммерческих организаций в процессе решения социально значимых проблем Демидовского района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a3"/>
              <w:jc w:val="center"/>
              <w:rPr>
                <w:sz w:val="22"/>
                <w:szCs w:val="22"/>
              </w:rPr>
            </w:pPr>
            <w:r w:rsidRPr="00A97DF0">
              <w:rPr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</w:tbl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r w:rsidRPr="00E64B53">
        <w:rPr>
          <w:i/>
        </w:rPr>
        <w:t>СД</w:t>
      </w:r>
      <w:r w:rsidRPr="00E64B53">
        <w:rPr>
          <w:vertAlign w:val="subscript"/>
        </w:rPr>
        <w:t xml:space="preserve"> </w:t>
      </w:r>
      <w:proofErr w:type="spellStart"/>
      <w:r w:rsidRPr="00E64B53">
        <w:rPr>
          <w:vertAlign w:val="subscript"/>
        </w:rPr>
        <w:t>гппз</w:t>
      </w:r>
      <w:r w:rsidRPr="00E64B53">
        <w:rPr>
          <w:i/>
        </w:rPr>
        <w:t>=</w:t>
      </w:r>
      <w:proofErr w:type="spellEnd"/>
      <w:r w:rsidRPr="00E64B53">
        <w:rPr>
          <w:i/>
        </w:rPr>
        <w:t xml:space="preserve"> </w:t>
      </w:r>
      <w:r>
        <w:rPr>
          <w:i/>
        </w:rPr>
        <w:t>100</w:t>
      </w:r>
      <w:r w:rsidRPr="00E64B53">
        <w:rPr>
          <w:i/>
          <w:vertAlign w:val="subscript"/>
        </w:rPr>
        <w:t xml:space="preserve"> </w:t>
      </w:r>
      <w:r w:rsidRPr="00E64B53">
        <w:rPr>
          <w:i/>
        </w:rPr>
        <w:t xml:space="preserve">/ </w:t>
      </w:r>
      <w:r>
        <w:rPr>
          <w:i/>
        </w:rPr>
        <w:t>100</w:t>
      </w:r>
      <w:r w:rsidRPr="00E64B53">
        <w:rPr>
          <w:i/>
        </w:rPr>
        <w:t xml:space="preserve">= </w:t>
      </w:r>
      <w:r>
        <w:rPr>
          <w:i/>
        </w:rPr>
        <w:t>1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C5B3C" w:rsidRPr="001B04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</w:t>
      </w:r>
      <w:r w:rsidR="00076B37">
        <w:rPr>
          <w:rFonts w:ascii="Times New Roman" w:hAnsi="Times New Roman"/>
          <w:sz w:val="28"/>
          <w:szCs w:val="28"/>
        </w:rPr>
        <w:t>4</w:t>
      </w:r>
      <w:r w:rsidRPr="0049610F">
        <w:rPr>
          <w:rFonts w:ascii="Times New Roman" w:hAnsi="Times New Roman"/>
          <w:sz w:val="28"/>
          <w:szCs w:val="28"/>
        </w:rPr>
        <w:t xml:space="preserve"> годы  в 20</w:t>
      </w:r>
      <w:r w:rsidR="0051303B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2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CC5B3C" w:rsidRPr="0049610F" w:rsidRDefault="00CC5B3C" w:rsidP="00CC5B3C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= 1,0</w:t>
      </w:r>
    </w:p>
    <w:p w:rsidR="00CC5B3C" w:rsidRPr="0049610F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190B66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190B66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190B66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lastRenderedPageBreak/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CC5B3C" w:rsidRPr="00EF078A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51303B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31 800,00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 xml:space="preserve"> </w:t>
      </w:r>
      <w:r w:rsidR="00076B37">
        <w:rPr>
          <w:rFonts w:ascii="Times New Roman" w:hAnsi="Times New Roman"/>
          <w:sz w:val="28"/>
          <w:szCs w:val="28"/>
        </w:rPr>
        <w:t>2 052 000,00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076B37">
        <w:rPr>
          <w:rFonts w:ascii="Times New Roman" w:hAnsi="Times New Roman"/>
          <w:sz w:val="28"/>
          <w:szCs w:val="28"/>
        </w:rPr>
        <w:t>0,21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90B66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CC5B3C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90B66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190B66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190B66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190B66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190B66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66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FB35A2">
        <w:rPr>
          <w:rFonts w:ascii="Times New Roman" w:hAnsi="Times New Roman"/>
          <w:sz w:val="28"/>
          <w:szCs w:val="28"/>
        </w:rPr>
        <w:t>0,2</w:t>
      </w:r>
      <w:r w:rsidR="00076B37">
        <w:rPr>
          <w:rFonts w:ascii="Times New Roman" w:hAnsi="Times New Roman"/>
          <w:sz w:val="28"/>
          <w:szCs w:val="28"/>
        </w:rPr>
        <w:t>1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FB35A2">
        <w:rPr>
          <w:rFonts w:ascii="Times New Roman" w:hAnsi="Times New Roman"/>
          <w:sz w:val="28"/>
          <w:szCs w:val="28"/>
        </w:rPr>
        <w:t>0,6</w:t>
      </w:r>
    </w:p>
    <w:p w:rsidR="00CC5B3C" w:rsidRPr="0049610F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51303B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2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C5B3C" w:rsidRPr="00C15B4D" w:rsidTr="00AA3260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 xml:space="preserve">«Поддержка общественных некоммерческих организаций муниципального образования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«Демидовский район» Смоленской области»</w:t>
            </w:r>
          </w:p>
          <w:p w:rsidR="00CC5B3C" w:rsidRPr="00C15B4D" w:rsidRDefault="00CC5B3C" w:rsidP="00076B3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20</w:t>
            </w:r>
            <w:r w:rsidR="005130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076B3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C5B3C" w:rsidRPr="00C15B4D" w:rsidTr="00AA3260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B35A2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</w:tr>
    </w:tbl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</w:t>
      </w:r>
      <w:r w:rsidR="005448F4">
        <w:rPr>
          <w:rFonts w:ascii="Times New Roman" w:hAnsi="Times New Roman"/>
          <w:sz w:val="28"/>
          <w:szCs w:val="28"/>
        </w:rPr>
        <w:t xml:space="preserve">      </w:t>
      </w:r>
      <w:r w:rsidRPr="000D1989">
        <w:rPr>
          <w:rFonts w:ascii="Times New Roman" w:hAnsi="Times New Roman"/>
          <w:sz w:val="28"/>
          <w:szCs w:val="28"/>
        </w:rPr>
        <w:t xml:space="preserve">  А.Ф. Семенов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1303B" w:rsidRDefault="0051303B" w:rsidP="0051303B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76117C" w:rsidRDefault="0076117C"/>
    <w:sectPr w:rsidR="0076117C" w:rsidSect="0056107A">
      <w:pgSz w:w="11906" w:h="16838"/>
      <w:pgMar w:top="426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3C"/>
    <w:rsid w:val="00076B37"/>
    <w:rsid w:val="001344F0"/>
    <w:rsid w:val="00152FBF"/>
    <w:rsid w:val="00190B66"/>
    <w:rsid w:val="0024321B"/>
    <w:rsid w:val="00306AAC"/>
    <w:rsid w:val="003971EB"/>
    <w:rsid w:val="00443A49"/>
    <w:rsid w:val="0051303B"/>
    <w:rsid w:val="005330B5"/>
    <w:rsid w:val="005448F4"/>
    <w:rsid w:val="0056107A"/>
    <w:rsid w:val="0076117C"/>
    <w:rsid w:val="00A058C9"/>
    <w:rsid w:val="00B71056"/>
    <w:rsid w:val="00C176F4"/>
    <w:rsid w:val="00C63C2A"/>
    <w:rsid w:val="00CC5B3C"/>
    <w:rsid w:val="00E86EEE"/>
    <w:rsid w:val="00EC3F4D"/>
    <w:rsid w:val="00F51DC7"/>
    <w:rsid w:val="00FB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5B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C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3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1303B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2022-02-11T12:52:00Z</cp:lastPrinted>
  <dcterms:created xsi:type="dcterms:W3CDTF">2019-04-01T06:49:00Z</dcterms:created>
  <dcterms:modified xsi:type="dcterms:W3CDTF">2023-03-27T06:37:00Z</dcterms:modified>
</cp:coreProperties>
</file>