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eastAsia="Times New Roman" w:cs="Times New Roman"/>
          <w:color w:val="000000"/>
          <w:sz w:val="28"/>
          <w:szCs w:val="28"/>
        </w:rPr>
      </w:pPr>
      <w:r>
        <w:rPr>
          <w:rFonts w:cs="Times New Roman" w:ascii="Times New Roman" w:hAnsi="Times New Roman"/>
          <w:sz w:val="28"/>
          <w:szCs w:val="28"/>
        </w:rPr>
        <w:t xml:space="preserve">                                                                </w:t>
      </w:r>
      <w:bookmarkStart w:id="0" w:name="_GoBack"/>
      <w:bookmarkEnd w:id="0"/>
      <w:r>
        <w:rPr>
          <w:rFonts w:eastAsia="Times New Roman" w:cs="Times New Roman" w:ascii="Times New Roman" w:hAnsi="Times New Roman"/>
          <w:color w:val="000000"/>
          <w:sz w:val="28"/>
          <w:szCs w:val="28"/>
        </w:rPr>
        <w:t>Утвержден</w:t>
      </w:r>
    </w:p>
    <w:p>
      <w:pPr>
        <w:pStyle w:val="Normal"/>
        <w:spacing w:lineRule="auto" w:line="240" w:before="0" w:after="0"/>
        <w:rPr>
          <w:rFonts w:ascii="Times New Roman" w:hAnsi="Times New Roman" w:eastAsia="Calibri"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приказом председателя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Контрольно-ревизионной комиссии </w:t>
      </w:r>
    </w:p>
    <w:p>
      <w:pPr>
        <w:pStyle w:val="Normal"/>
        <w:spacing w:lineRule="auto" w:line="240" w:before="0" w:after="0"/>
        <w:ind w:left="4253"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муниципального образования</w:t>
      </w:r>
    </w:p>
    <w:p>
      <w:pPr>
        <w:pStyle w:val="Normal"/>
        <w:spacing w:lineRule="auto" w:line="240" w:before="0" w:after="0"/>
        <w:ind w:left="4253"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«Демидовский район»  Смоленской области</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u w:val="single"/>
        </w:rPr>
        <w:t xml:space="preserve"> </w:t>
      </w:r>
      <w:r>
        <w:rPr>
          <w:rFonts w:cs="Times New Roman" w:ascii="Times New Roman" w:hAnsi="Times New Roman"/>
          <w:sz w:val="28"/>
          <w:szCs w:val="28"/>
          <w:u w:val="single"/>
        </w:rPr>
        <w:t>от 25.12.2019</w:t>
      </w:r>
      <w:r>
        <w:rPr>
          <w:rFonts w:cs="Times New Roman" w:ascii="Times New Roman" w:hAnsi="Times New Roman"/>
          <w:sz w:val="28"/>
          <w:szCs w:val="28"/>
        </w:rPr>
        <w:t xml:space="preserve">  № </w:t>
      </w:r>
      <w:r>
        <w:rPr>
          <w:rFonts w:cs="Times New Roman" w:ascii="Times New Roman" w:hAnsi="Times New Roman"/>
          <w:sz w:val="28"/>
          <w:szCs w:val="28"/>
          <w:u w:val="single"/>
        </w:rPr>
        <w:t>_3</w:t>
      </w:r>
    </w:p>
    <w:p>
      <w:pPr>
        <w:pStyle w:val="Normal"/>
        <w:spacing w:lineRule="auto" w:line="240" w:before="0" w:after="0"/>
        <w:jc w:val="right"/>
        <w:rPr>
          <w:rFonts w:ascii="TimesNewRomanPSMT" w:hAnsi="TimesNewRomanPSMT" w:cs="TimesNewRomanPSMT"/>
          <w:sz w:val="28"/>
          <w:szCs w:val="28"/>
        </w:rPr>
      </w:pPr>
      <w:r>
        <w:rPr>
          <w:rFonts w:cs="TimesNewRomanPSMT" w:ascii="TimesNewRomanPSMT" w:hAnsi="TimesNewRomanPSMT"/>
          <w:sz w:val="28"/>
          <w:szCs w:val="28"/>
        </w:rPr>
      </w:r>
    </w:p>
    <w:p>
      <w:pPr>
        <w:pStyle w:val="Normal"/>
        <w:spacing w:lineRule="auto" w:line="240" w:before="0" w:after="0"/>
        <w:jc w:val="right"/>
        <w:rPr>
          <w:rFonts w:ascii="TimesNewRomanPSMT" w:hAnsi="TimesNewRomanPSMT" w:cs="TimesNewRomanPSMT"/>
          <w:sz w:val="28"/>
          <w:szCs w:val="28"/>
        </w:rPr>
      </w:pPr>
      <w:r>
        <w:rPr>
          <w:rFonts w:cs="TimesNewRomanPSMT" w:ascii="TimesNewRomanPSMT" w:hAnsi="TimesNewRomanPSMT"/>
          <w:sz w:val="28"/>
          <w:szCs w:val="28"/>
        </w:rPr>
      </w:r>
    </w:p>
    <w:p>
      <w:pPr>
        <w:pStyle w:val="Normal"/>
        <w:spacing w:lineRule="auto" w:line="240" w:before="0" w:after="0"/>
        <w:jc w:val="right"/>
        <w:rPr>
          <w:rFonts w:ascii="TimesNewRomanPSMT" w:hAnsi="TimesNewRomanPSMT" w:cs="TimesNewRomanPSMT"/>
          <w:sz w:val="28"/>
          <w:szCs w:val="28"/>
        </w:rPr>
      </w:pPr>
      <w:r>
        <w:rPr>
          <w:rFonts w:cs="TimesNewRomanPSMT" w:ascii="TimesNewRomanPSMT" w:hAnsi="TimesNewRomanPSMT"/>
          <w:sz w:val="28"/>
          <w:szCs w:val="28"/>
        </w:rPr>
      </w:r>
    </w:p>
    <w:p>
      <w:pPr>
        <w:pStyle w:val="Normal"/>
        <w:spacing w:lineRule="auto" w:line="240" w:before="0" w:after="0"/>
        <w:jc w:val="right"/>
        <w:rPr>
          <w:rFonts w:ascii="TimesNewRomanPSMT" w:hAnsi="TimesNewRomanPSMT" w:cs="TimesNewRomanPSMT"/>
          <w:sz w:val="28"/>
          <w:szCs w:val="28"/>
        </w:rPr>
      </w:pPr>
      <w:r>
        <w:rPr>
          <w:rFonts w:cs="TimesNewRomanPSMT" w:ascii="TimesNewRomanPSMT" w:hAnsi="TimesNewRomanPSMT"/>
          <w:sz w:val="28"/>
          <w:szCs w:val="28"/>
        </w:rPr>
      </w:r>
    </w:p>
    <w:p>
      <w:pPr>
        <w:pStyle w:val="Normal"/>
        <w:spacing w:lineRule="auto" w:line="240" w:before="0" w:after="0"/>
        <w:jc w:val="right"/>
        <w:rPr>
          <w:rFonts w:ascii="TimesNewRomanPSMT" w:hAnsi="TimesNewRomanPSMT" w:cs="TimesNewRomanPSMT"/>
          <w:sz w:val="28"/>
          <w:szCs w:val="28"/>
        </w:rPr>
      </w:pPr>
      <w:r>
        <w:rPr>
          <w:rFonts w:cs="TimesNewRomanPSMT" w:ascii="TimesNewRomanPSMT" w:hAnsi="TimesNewRomanPSMT"/>
          <w:sz w:val="28"/>
          <w:szCs w:val="28"/>
        </w:rPr>
      </w:r>
    </w:p>
    <w:p>
      <w:pPr>
        <w:pStyle w:val="Normal"/>
        <w:spacing w:lineRule="auto" w:line="240" w:before="0" w:after="0"/>
        <w:jc w:val="right"/>
        <w:rPr>
          <w:rFonts w:ascii="TimesNewRomanPSMT" w:hAnsi="TimesNewRomanPSMT" w:cs="TimesNewRomanPSMT"/>
          <w:sz w:val="28"/>
          <w:szCs w:val="28"/>
        </w:rPr>
      </w:pPr>
      <w:r>
        <w:rPr>
          <w:rFonts w:cs="TimesNewRomanPSMT" w:ascii="TimesNewRomanPSMT" w:hAnsi="TimesNewRomanPSMT"/>
          <w:sz w:val="28"/>
          <w:szCs w:val="28"/>
        </w:rPr>
      </w:r>
    </w:p>
    <w:p>
      <w:pPr>
        <w:pStyle w:val="Normal"/>
        <w:spacing w:lineRule="auto" w:line="240" w:before="0" w:after="0"/>
        <w:jc w:val="right"/>
        <w:rPr>
          <w:rFonts w:ascii="TimesNewRomanPSMT" w:hAnsi="TimesNewRomanPSMT" w:cs="TimesNewRomanPSMT"/>
          <w:sz w:val="28"/>
          <w:szCs w:val="28"/>
        </w:rPr>
      </w:pPr>
      <w:r>
        <w:rPr>
          <w:rFonts w:cs="TimesNewRomanPSMT" w:ascii="TimesNewRomanPSMT" w:hAnsi="TimesNewRomanPSMT"/>
          <w:sz w:val="28"/>
          <w:szCs w:val="28"/>
        </w:rPr>
      </w:r>
    </w:p>
    <w:p>
      <w:pPr>
        <w:pStyle w:val="Normal"/>
        <w:spacing w:lineRule="auto" w:line="240" w:before="0" w:after="0"/>
        <w:jc w:val="right"/>
        <w:rPr>
          <w:rFonts w:ascii="TimesNewRomanPSMT" w:hAnsi="TimesNewRomanPSMT" w:cs="TimesNewRomanPSMT"/>
          <w:sz w:val="28"/>
          <w:szCs w:val="28"/>
        </w:rPr>
      </w:pPr>
      <w:r>
        <w:rPr>
          <w:rFonts w:cs="TimesNewRomanPSMT" w:ascii="TimesNewRomanPSMT" w:hAnsi="TimesNewRomanPSMT"/>
          <w:sz w:val="28"/>
          <w:szCs w:val="28"/>
        </w:rPr>
      </w:r>
    </w:p>
    <w:p>
      <w:pPr>
        <w:pStyle w:val="Normal"/>
        <w:spacing w:lineRule="auto" w:line="240" w:before="0" w:after="0"/>
        <w:jc w:val="right"/>
        <w:rPr>
          <w:rFonts w:ascii="TimesNewRomanPSMT" w:hAnsi="TimesNewRomanPSMT" w:cs="TimesNewRomanPSMT"/>
          <w:sz w:val="28"/>
          <w:szCs w:val="28"/>
        </w:rPr>
      </w:pPr>
      <w:r>
        <w:rPr>
          <w:rFonts w:cs="TimesNewRomanPSMT" w:ascii="TimesNewRomanPSMT" w:hAnsi="TimesNewRomanPSMT"/>
          <w:sz w:val="28"/>
          <w:szCs w:val="28"/>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СТАНДАРТ ВНЕШНЕГО МУНИЦИПАЛЬНОГО ФИНАНСОВОГО КОНТРОЛЯ</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«Финансово-экономическая экспертиза проектов муниципальных программ»</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NewRomanPSMT" w:hAnsi="TimesNewRomanPSMT" w:cs="TimesNewRomanPSMT"/>
          <w:sz w:val="24"/>
          <w:szCs w:val="24"/>
        </w:rPr>
      </w:pPr>
      <w:r>
        <w:rPr>
          <w:rFonts w:cs="TimesNewRomanPSMT" w:ascii="TimesNewRomanPSMT" w:hAnsi="TimesNewRomanPSMT"/>
          <w:sz w:val="24"/>
          <w:szCs w:val="24"/>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pPr>
      <w:r>
        <w:rPr>
          <w:rFonts w:cs="Times New Roman" w:ascii="Times New Roman" w:hAnsi="Times New Roman"/>
          <w:b/>
          <w:bCs/>
          <w:sz w:val="28"/>
          <w:szCs w:val="28"/>
        </w:rPr>
        <w:t>г. Демидов</w:t>
      </w:r>
    </w:p>
    <w:p>
      <w:pPr>
        <w:pStyle w:val="Normal"/>
        <w:spacing w:lineRule="auto" w:line="240" w:before="0" w:after="0"/>
        <w:jc w:val="center"/>
        <w:rPr/>
      </w:pPr>
      <w:r>
        <w:rPr>
          <w:rFonts w:cs="Times New Roman" w:ascii="Times New Roman" w:hAnsi="Times New Roman"/>
          <w:b/>
          <w:bCs/>
          <w:sz w:val="28"/>
          <w:szCs w:val="28"/>
        </w:rPr>
        <w:t>2019 год</w:t>
      </w:r>
    </w:p>
    <w:p>
      <w:pPr>
        <w:pStyle w:val="Normal"/>
        <w:spacing w:lineRule="auto" w:line="240" w:before="0" w:after="0"/>
        <w:jc w:val="center"/>
        <w:rPr>
          <w:rFonts w:ascii="TimesNewRomanPS-BoldMT" w:hAnsi="TimesNewRomanPS-BoldMT" w:cs="TimesNewRomanPS-BoldMT"/>
          <w:b/>
          <w:b/>
          <w:bCs/>
          <w:sz w:val="28"/>
          <w:szCs w:val="28"/>
        </w:rPr>
      </w:pPr>
      <w:r>
        <w:rPr>
          <w:rFonts w:cs="TimesNewRomanPS-BoldMT" w:ascii="TimesNewRomanPS-BoldMT" w:hAnsi="TimesNewRomanPS-BoldMT"/>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Содержание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40" w:before="0" w:after="0"/>
        <w:rPr>
          <w:rFonts w:ascii="Times New Roman" w:hAnsi="Times New Roman" w:cs="Times New Roman"/>
          <w:sz w:val="28"/>
          <w:szCs w:val="28"/>
        </w:rPr>
      </w:pPr>
      <w:r>
        <w:rPr>
          <w:rFonts w:cs="Times New Roman" w:ascii="Times New Roman" w:hAnsi="Times New Roman"/>
          <w:sz w:val="28"/>
          <w:szCs w:val="28"/>
        </w:rPr>
        <w:t>Общие положения .................................................................................................3.</w:t>
      </w:r>
    </w:p>
    <w:p>
      <w:pPr>
        <w:pStyle w:val="Normal"/>
        <w:spacing w:lineRule="auto" w:line="240" w:before="0" w:after="0"/>
        <w:ind w:left="-426" w:hanging="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40" w:before="0" w:after="0"/>
        <w:rPr>
          <w:rFonts w:ascii="Times New Roman" w:hAnsi="Times New Roman" w:cs="Times New Roman"/>
          <w:sz w:val="28"/>
          <w:szCs w:val="28"/>
        </w:rPr>
      </w:pPr>
      <w:r>
        <w:rPr>
          <w:rFonts w:cs="Times New Roman" w:ascii="Times New Roman" w:hAnsi="Times New Roman"/>
          <w:sz w:val="28"/>
          <w:szCs w:val="28"/>
        </w:rPr>
        <w:t>Требования к проведению экспертизы проекта муниципальной</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66"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программы ........................................................................................................... 5.</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40" w:before="0" w:after="0"/>
        <w:rPr>
          <w:rFonts w:ascii="Times New Roman" w:hAnsi="Times New Roman" w:cs="Times New Roman"/>
          <w:sz w:val="28"/>
          <w:szCs w:val="28"/>
        </w:rPr>
      </w:pPr>
      <w:r>
        <w:rPr>
          <w:rFonts w:cs="Times New Roman" w:ascii="Times New Roman" w:hAnsi="Times New Roman"/>
          <w:sz w:val="28"/>
          <w:szCs w:val="28"/>
        </w:rPr>
        <w:t>Требования к оформлению результатов экспертизы ……………..………….6.</w:t>
      </w:r>
    </w:p>
    <w:p>
      <w:pPr>
        <w:pStyle w:val="ListParagraph"/>
        <w:spacing w:lineRule="auto" w:line="240" w:before="0" w:after="0"/>
        <w:ind w:left="-66" w:hanging="0"/>
        <w:rPr>
          <w:rFonts w:ascii="TimesNewRomanPSMT" w:hAnsi="TimesNewRomanPSMT" w:cs="TimesNewRomanPSMT"/>
          <w:sz w:val="28"/>
          <w:szCs w:val="28"/>
        </w:rPr>
      </w:pPr>
      <w:r>
        <w:rPr>
          <w:rFonts w:cs="TimesNewRomanPSMT" w:ascii="TimesNewRomanPSMT" w:hAnsi="TimesNewRomanPSMT"/>
          <w:sz w:val="28"/>
          <w:szCs w:val="28"/>
        </w:rPr>
      </w:r>
    </w:p>
    <w:p>
      <w:pPr>
        <w:pStyle w:val="Normal"/>
        <w:spacing w:lineRule="auto" w:line="240" w:before="0" w:after="0"/>
        <w:ind w:left="-426" w:hanging="0"/>
        <w:rPr>
          <w:rFonts w:ascii="TimesNewRomanPSMT" w:hAnsi="TimesNewRomanPSMT" w:cs="TimesNewRomanPSMT"/>
          <w:sz w:val="28"/>
          <w:szCs w:val="28"/>
        </w:rPr>
      </w:pPr>
      <w:r>
        <w:rPr>
          <w:rFonts w:cs="TimesNewRomanPSMT" w:ascii="TimesNewRomanPSMT" w:hAnsi="TimesNewRomanPSMT"/>
          <w:sz w:val="28"/>
          <w:szCs w:val="28"/>
        </w:rPr>
        <w:t xml:space="preserve"> </w:t>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rPr>
          <w:rFonts w:ascii="TimesNewRomanPSMT" w:hAnsi="TimesNewRomanPSMT" w:cs="TimesNewRomanPSMT"/>
          <w:sz w:val="24"/>
          <w:szCs w:val="24"/>
        </w:rPr>
      </w:pPr>
      <w:r>
        <w:rPr>
          <w:rFonts w:cs="TimesNewRomanPSMT" w:ascii="TimesNewRomanPSMT" w:hAnsi="TimesNewRomanPSMT"/>
          <w:sz w:val="24"/>
          <w:szCs w:val="24"/>
        </w:rPr>
      </w:r>
    </w:p>
    <w:p>
      <w:pPr>
        <w:pStyle w:val="ListParagraph"/>
        <w:numPr>
          <w:ilvl w:val="0"/>
          <w:numId w:val="2"/>
        </w:numPr>
        <w:spacing w:lineRule="auto" w:line="240" w:before="0" w:after="0"/>
        <w:jc w:val="center"/>
        <w:rPr>
          <w:rFonts w:ascii="TimesNewRomanPS-BoldMT" w:hAnsi="TimesNewRomanPS-BoldMT" w:cs="TimesNewRomanPS-BoldMT"/>
          <w:b/>
          <w:b/>
          <w:bCs/>
          <w:sz w:val="28"/>
          <w:szCs w:val="28"/>
        </w:rPr>
      </w:pPr>
      <w:r>
        <w:rPr>
          <w:rFonts w:cs="TimesNewRomanPS-BoldMT" w:ascii="TimesNewRomanPS-BoldMT" w:hAnsi="TimesNewRomanPS-BoldMT"/>
          <w:b/>
          <w:bCs/>
          <w:sz w:val="28"/>
          <w:szCs w:val="28"/>
        </w:rPr>
        <w:t>Общие положения</w:t>
      </w:r>
    </w:p>
    <w:p>
      <w:pPr>
        <w:pStyle w:val="ListParagraph"/>
        <w:spacing w:lineRule="auto" w:line="240" w:before="0" w:after="0"/>
        <w:rPr>
          <w:rFonts w:ascii="TimesNewRomanPS-BoldMT" w:hAnsi="TimesNewRomanPS-BoldMT" w:cs="TimesNewRomanPS-BoldMT"/>
          <w:b/>
          <w:b/>
          <w:bCs/>
          <w:sz w:val="28"/>
          <w:szCs w:val="28"/>
        </w:rPr>
      </w:pPr>
      <w:r>
        <w:rPr>
          <w:rFonts w:cs="TimesNewRomanPS-BoldMT" w:ascii="TimesNewRomanPS-BoldMT" w:hAnsi="TimesNewRomanPS-BoldMT"/>
          <w:b/>
          <w:bCs/>
          <w:sz w:val="28"/>
          <w:szCs w:val="28"/>
        </w:rPr>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1.1. Стандарт внешнего муниципального финансового контроля «Финансово-экономическая экспертиза проектов муниципальных программ» (далее – Стандарт) разработан в соответствии с требованиями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на основе 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Счетной палаты Российской Федерации (протокол от 17.10.2014 № 47К (993) в целях реализации Положения о Контрольно-ревизионной комиссии муниципального образования «Демидовский район» Смоленской области, утвержденного решением Демидовского районного Совета депутатов от 19.01.2012 № 2, в соответствии с Регламентом Контрольно-ревизионной комиссии муниципального образования «Демидовский район» Смоленской области.</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При разработке настоящего Стандарта использован типовой стандарт «Финансово-экономическая экспертиза проектов муниципальных программ», утвержденный решением Президиума Союза МКСО (протокол заседания Президиума Союза МКСО от 19.05.2013 № 2 (33).</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1.2. Стандарт определяет общие требования и принципы проведения Контрольно-ревизионной комиссией муниципального образования «Демидовский район» Смоленской области (далее – Контрольно-ревизионная комиссия) финансово-экономической экспертизы проектов муниципальных программ, а также проектов изменений действующих муниципальных программ (далее –муниципальных программ) в пределах полномочий Контрольно-ревизионной комиссии.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1.3. Стандарт является обязательным к применению должностными лицами Контрольно-ревизионной комиссии и привлеченными экспертами, участвующими в проведении финансово-экономической экспертизы проектов муниципальных программ.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1.4. Основные термины и понятия:</w:t>
      </w:r>
    </w:p>
    <w:p>
      <w:pPr>
        <w:pStyle w:val="Normal"/>
        <w:spacing w:lineRule="auto" w:line="240" w:before="0" w:after="0"/>
        <w:jc w:val="both"/>
        <w:rPr/>
      </w:pPr>
      <w:r>
        <w:rPr>
          <w:rFonts w:cs="Times New Roman" w:ascii="Times New Roman" w:hAnsi="Times New Roman"/>
          <w:sz w:val="28"/>
          <w:szCs w:val="28"/>
        </w:rPr>
        <w:t>- финансово-экономическая экспертиза проекта муниципальной программы (далее–экспертиза)– экспертно-аналитическое мероприятие,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 организационными и иными мерами, целесообразности предполагаемых затрат с учетом ожидаемых результатов;</w:t>
      </w:r>
    </w:p>
    <w:p>
      <w:pPr>
        <w:pStyle w:val="Normal"/>
        <w:spacing w:lineRule="auto" w:line="240" w:before="0" w:after="0"/>
        <w:jc w:val="both"/>
        <w:rPr/>
      </w:pPr>
      <w:r>
        <w:rPr>
          <w:rFonts w:cs="Times New Roman" w:ascii="Times New Roman" w:hAnsi="Times New Roman"/>
          <w:sz w:val="28"/>
          <w:szCs w:val="28"/>
        </w:rPr>
        <w:t>- целевые (индикативные) показатели, индикаторы – показатели, установленные программой, для оценки степени достижения</w:t>
      </w:r>
      <w:r>
        <w:rPr>
          <w:rFonts w:cs="TimesNewRomanPSMT" w:ascii="TimesNewRomanPSMT" w:hAnsi="TimesNewRomanPSMT"/>
          <w:sz w:val="28"/>
          <w:szCs w:val="28"/>
        </w:rPr>
        <w:t xml:space="preserve"> </w:t>
      </w:r>
      <w:r>
        <w:rPr>
          <w:rFonts w:cs="Times New Roman" w:ascii="Times New Roman" w:hAnsi="Times New Roman"/>
          <w:sz w:val="28"/>
          <w:szCs w:val="28"/>
        </w:rPr>
        <w:t>поставленных программой целей и задач.</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1.5. Экспертиза проектов муниципальных программ осуществляется Контрольно-ревизионной комиссией на основании пункта 7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1.6. Экспертизы проектов муниципальных программ являются экспертно-аналитическими мероприятиями, проводимыми в рамках предварительного контроля правовых актов.</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1.7. Целью экспертизы является подтверждение полномочий по установлению(изменению) расходного обязательства, подтверждение обоснованности размера расходного обязательства, установление экономических последствий принятия нового (изменения действующего) расходного обязательства для бюджета муниципального образования «Демидовский район» Смоленской области (далее –бюджет муниципального образования).</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1.8. Экспертиза проекта муниципальной программы не предполагает оценку общего социального, экономического эффекта от реализации муниципальной программы, определение масштаба и динамики негативных и позитивных социальных воздействий при принятии или непринятии муниципальной программы. В пределах своей компетенции Контрольно-ревизионная комиссия вправе выражать свое мнение по указанным аспектам.</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1.9. Экспертиза проекта муниципальной программы включает оценку его соответствия нормам, установленным законами и иными нормативными правовыми актами Российской Федерации, Смоленской области, муниципального образования «Демидовский район» Смоленской области в соответствующей сфере.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1.10. Заключение Контрольно-ревизионной комиссии по итогам экспертизы не должно содержать политических оценок проекта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1.11. Основными задачами экспертизы проекта муниципальной программы является оценка: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соответствия положений проекта муниципальной программы нормам законов и иных нормативных правовых актов;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полноты анализа предметной ситуации и ее факторов;</w:t>
      </w:r>
    </w:p>
    <w:p>
      <w:pPr>
        <w:pStyle w:val="Normal"/>
        <w:spacing w:lineRule="auto" w:line="240" w:before="0" w:after="0"/>
        <w:jc w:val="both"/>
        <w:rPr/>
      </w:pPr>
      <w:r>
        <w:rPr>
          <w:rFonts w:cs="Times New Roman" w:ascii="Times New Roman" w:hAnsi="Times New Roman"/>
          <w:sz w:val="28"/>
          <w:szCs w:val="28"/>
        </w:rPr>
        <w:t>- корректности определения ожидаемых результатов, целевых показателей (индикаторов) муниципальной программы;</w:t>
      </w:r>
    </w:p>
    <w:p>
      <w:pPr>
        <w:pStyle w:val="Normal"/>
        <w:spacing w:lineRule="auto" w:line="240" w:before="0" w:after="0"/>
        <w:jc w:val="both"/>
        <w:rPr/>
      </w:pPr>
      <w:r>
        <w:rPr>
          <w:rFonts w:cs="Times New Roman" w:ascii="Times New Roman" w:hAnsi="Times New Roman"/>
          <w:sz w:val="28"/>
          <w:szCs w:val="28"/>
        </w:rPr>
        <w:t>-целостности и связанности задач муниципальной программы и мероприятий по их выполнению;</w:t>
      </w:r>
    </w:p>
    <w:p>
      <w:pPr>
        <w:pStyle w:val="Normal"/>
        <w:spacing w:lineRule="auto" w:line="240" w:before="0" w:after="0"/>
        <w:jc w:val="both"/>
        <w:rPr/>
      </w:pPr>
      <w:r>
        <w:rPr>
          <w:rFonts w:cs="Times New Roman" w:ascii="Times New Roman" w:hAnsi="Times New Roman"/>
          <w:sz w:val="28"/>
          <w:szCs w:val="28"/>
        </w:rPr>
        <w:t>- обоснованности заявленных финансовых потребностей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1.12. Экспертизе подлежат проекты муниципальных программ или проекты внесения изменений в муниципальные программы. Повторная экспертиза проводится в случае направления в Контрольно-ревизионную комиссию проекта муниципальной программы (проекта изменений в муниципальную программу) повторно после устранения замечаний и рассмотрения предложений Контрольно-ревизионной комиссии.</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1.13. Дополнительная экспертиза проводится в случае недостаточности информации и документов для подготовки положительного заключения при условии направления в Контрольно-ревизионную комиссию дополнительной информации и документов вместе с проектом муниципальной программы (проектом изменений в муниципальную программу). Положительным заключением в целях настоящей статьи считается заключение, в котором по итогам экспертизы замечания и предложения отсутствуют. Также дополнительная экспертиза может проводиться при единичных изменениях параметров муниципальной программы, не связанных с целями, задачами, сводными мероприятиями (например, корректировка объема финансирования отдельных мероприятий) при наличии положительного заключения по итогам финансово-экономической экспертизы ранее рассмотренного варианта проекта.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 Требования к проведению экспертизы проекта муниципальной</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программы</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2.1. Объем экспертизы проекта муниципальной программы определяется председателем или инспектором Контрольно-ревизионной комиссии исходя из целей и задач экспертизы и условий ее проведения (срока подготовки заключения, а также полноты представленных материалов и качества их оформления).</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2.2. При необходимости председателем или инспектором Контрольно- ревизионной комиссии при проведении экспертизы могут быть определены вопросы, на которые участвующим в проведении экспертизы, предлагается обратить особое внимание.</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2.3. При проведении экспертизы проекта муниципальной программы учитываются результаты ранее проведенных контрольных и экспертно- аналитических мероприятий в соответствующей сфере формирования и использования средств бюджета муниципального образования.</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2.4. В ходе проведения экспертизы проектов муниципальных программ подлежат рассмотрению следующие вопросы:</w:t>
      </w:r>
    </w:p>
    <w:p>
      <w:pPr>
        <w:pStyle w:val="Normal"/>
        <w:spacing w:lineRule="auto" w:line="240" w:before="0" w:after="0"/>
        <w:jc w:val="both"/>
        <w:rPr/>
      </w:pPr>
      <w:r>
        <w:rPr>
          <w:rFonts w:cs="Times New Roman" w:ascii="Times New Roman" w:hAnsi="Times New Roman"/>
          <w:sz w:val="28"/>
          <w:szCs w:val="28"/>
        </w:rPr>
        <w:t>- соответствие целей муниципальной программы поставленной проблеме, соответствие планируемых задач целям муниципальной программы;</w:t>
      </w:r>
    </w:p>
    <w:p>
      <w:pPr>
        <w:pStyle w:val="Normal"/>
        <w:spacing w:lineRule="auto" w:line="240" w:before="0" w:after="0"/>
        <w:jc w:val="both"/>
        <w:rPr/>
      </w:pPr>
      <w:r>
        <w:rPr>
          <w:rFonts w:cs="Times New Roman" w:ascii="Times New Roman" w:hAnsi="Times New Roman"/>
          <w:sz w:val="28"/>
          <w:szCs w:val="28"/>
        </w:rPr>
        <w:t>- соответствие целей, задач муниципальной программы Программе комплексного социально-экономического развития муниципального образования;</w:t>
      </w:r>
    </w:p>
    <w:p>
      <w:pPr>
        <w:pStyle w:val="Normal"/>
        <w:spacing w:lineRule="auto" w:line="240" w:before="0" w:after="0"/>
        <w:jc w:val="both"/>
        <w:rPr/>
      </w:pPr>
      <w:r>
        <w:rPr>
          <w:rFonts w:cs="Times New Roman" w:ascii="Times New Roman" w:hAnsi="Times New Roman"/>
          <w:sz w:val="28"/>
          <w:szCs w:val="28"/>
        </w:rPr>
        <w:t>- четкость формулировок целей и задач, их конкретность и реальная достижимость в установленные сроки реализации муниципальной программы;</w:t>
      </w:r>
    </w:p>
    <w:p>
      <w:pPr>
        <w:pStyle w:val="Normal"/>
        <w:spacing w:lineRule="auto" w:line="240" w:before="0" w:after="0"/>
        <w:jc w:val="both"/>
        <w:rPr/>
      </w:pPr>
      <w:r>
        <w:rPr>
          <w:rFonts w:cs="Times New Roman" w:ascii="Times New Roman" w:hAnsi="Times New Roman"/>
          <w:sz w:val="28"/>
          <w:szCs w:val="28"/>
        </w:rPr>
        <w:t>- наличие измеряемых (натуральных и стоимостных) показателей, позволяющих оценить степень достижения целей и выполнения задач;</w:t>
      </w:r>
    </w:p>
    <w:p>
      <w:pPr>
        <w:pStyle w:val="Normal"/>
        <w:spacing w:lineRule="auto" w:line="240" w:before="0" w:after="0"/>
        <w:jc w:val="both"/>
        <w:rPr/>
      </w:pPr>
      <w:r>
        <w:rPr>
          <w:rFonts w:cs="Times New Roman" w:ascii="Times New Roman" w:hAnsi="Times New Roman"/>
          <w:sz w:val="28"/>
          <w:szCs w:val="28"/>
        </w:rPr>
        <w:t>- взаимосвязанность программных мероприятий, в том числе по срокам реализации, отсутствие дублирования мероприятий других действующих (принимаемых) муниципальных программ;</w:t>
      </w:r>
    </w:p>
    <w:p>
      <w:pPr>
        <w:pStyle w:val="Normal"/>
        <w:spacing w:lineRule="auto" w:line="240" w:before="0" w:after="0"/>
        <w:jc w:val="both"/>
        <w:rPr/>
      </w:pPr>
      <w:r>
        <w:rPr>
          <w:rFonts w:cs="Times New Roman" w:ascii="Times New Roman" w:hAnsi="Times New Roman"/>
          <w:sz w:val="28"/>
          <w:szCs w:val="28"/>
        </w:rPr>
        <w:t>- соответствие программных мероприятий целям и задачам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наличие и обоснованность промежуточных планируемых результатов;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обоснованность объемов финансирования программных мероприятий;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-обоснованность источников финансирования и их структуры по программным мероприятиям, для бюджетного финансирования – в разрезе целевых статей и направлений расходования;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обоснованность объемов и механизма привлечения внебюджетных источников финансирования, полноты использования возможностей привлечения средств иных бюджетов бюджетной системы Российской Федерации, а также средств иных источников для реализации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четкая формулировка, простота понимания индикаторов (целевых, индикативных показателей);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наличие достоверного источника информации или методики расчета индикаторов (целевых, индикативных показателей);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наличие взаимосвязи между индикаторами (целевыми, индикативными показателями) и программными мероприятиями;</w:t>
      </w:r>
    </w:p>
    <w:p>
      <w:pPr>
        <w:pStyle w:val="Normal"/>
        <w:spacing w:lineRule="auto" w:line="240" w:before="0" w:after="0"/>
        <w:jc w:val="both"/>
        <w:rPr/>
      </w:pPr>
      <w:r>
        <w:rPr>
          <w:rFonts w:cs="Times New Roman" w:ascii="Times New Roman" w:hAnsi="Times New Roman"/>
          <w:sz w:val="28"/>
          <w:szCs w:val="28"/>
        </w:rPr>
        <w:t>- наличие ответственных лиц (подразделений) за реализацию муниципальной программы в целом и за исполнение отдельных программных мероприятий;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механизм управления муниципальной программой, в том числе схемы мониторинга реализации муниципальной программы и взаимодействия разработчиков и исполнителей программных мероприятий.</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2.5. Экспертиза проектов об изменении муниципальных программ осуществляется в порядке,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 соответствия их показателям бюджета муниципального образования, а также: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корректности предлагаемых изменений (отсутствие изменений муниципальной программы «задним числом»);</w:t>
      </w:r>
    </w:p>
    <w:p>
      <w:pPr>
        <w:pStyle w:val="Normal"/>
        <w:spacing w:lineRule="auto" w:line="240" w:before="0" w:after="0"/>
        <w:jc w:val="both"/>
        <w:rPr/>
      </w:pPr>
      <w:r>
        <w:rPr>
          <w:rFonts w:cs="Times New Roman" w:ascii="Times New Roman" w:hAnsi="Times New Roman"/>
          <w:sz w:val="28"/>
          <w:szCs w:val="28"/>
        </w:rPr>
        <w:t>- логичности предлагаемых изменений (отсутствие внутренних противоречий в новом варианте муниципальной программы; согласованность изменений финансирования, программных мероприятий, целевых (индикативных) показателей и ожидаемых результатов);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правомерность предлагаемых изменений;</w:t>
      </w:r>
    </w:p>
    <w:p>
      <w:pPr>
        <w:pStyle w:val="Normal"/>
        <w:spacing w:lineRule="auto" w:line="240" w:before="0" w:after="0"/>
        <w:jc w:val="both"/>
        <w:rPr/>
      </w:pPr>
      <w:r>
        <w:rPr>
          <w:rFonts w:cs="Times New Roman" w:ascii="Times New Roman" w:hAnsi="Times New Roman"/>
          <w:sz w:val="28"/>
          <w:szCs w:val="28"/>
        </w:rPr>
        <w:t>- целесообразности предлагаемых изменений (потенциальная эффективность предлагаемых мер);</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устранения или сохранения нарушений и недостатков муниципальной программы, отмеченных Контрольно-ревизионной комиссией ранее по результатам экспертизы проекта муниципальной программы.</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2.6. Срок проведения экспертизы проекта муниципальной программы составляет не более 7 рабочих дней с даты поступления проекта в Контрольно-ревизионную комиссию.</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6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360" w:hanging="0"/>
        <w:jc w:val="center"/>
        <w:rPr>
          <w:rFonts w:ascii="Times New Roman" w:hAnsi="Times New Roman" w:cs="Times New Roman"/>
          <w:b/>
          <w:b/>
          <w:bCs/>
          <w:sz w:val="28"/>
          <w:szCs w:val="28"/>
        </w:rPr>
      </w:pPr>
      <w:r>
        <w:rPr>
          <w:rFonts w:cs="Times New Roman" w:ascii="Times New Roman" w:hAnsi="Times New Roman"/>
          <w:b/>
          <w:sz w:val="28"/>
          <w:szCs w:val="28"/>
        </w:rPr>
        <w:t>3</w:t>
      </w:r>
      <w:r>
        <w:rPr>
          <w:rFonts w:cs="Times New Roman" w:ascii="Times New Roman" w:hAnsi="Times New Roman"/>
          <w:sz w:val="28"/>
          <w:szCs w:val="28"/>
        </w:rPr>
        <w:t xml:space="preserve">. </w:t>
      </w:r>
      <w:r>
        <w:rPr>
          <w:rFonts w:cs="Times New Roman" w:ascii="Times New Roman" w:hAnsi="Times New Roman"/>
          <w:b/>
          <w:bCs/>
          <w:sz w:val="28"/>
          <w:szCs w:val="28"/>
        </w:rPr>
        <w:t>Требования к оформлению результатов экспертизы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3.1. По результатам проведения экспертизы составляется заключение (далее –заключение).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3.2. Заключение состоит из вводной и содержательной частей.</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3.3. Во вводной части заключения указываются реквизиты документов, на основании и с учетом которых проведена экспертиза, перечень документов, предоставленных с проектом муниципальной программы, перечень дополнительно запрошенных и (или) изученных в ходе экспертизы документов, материалы которых были учтены при подготовке заключения.</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3.4. В содержательной части заключения исследуется муниципальная программа, в том числе общее изменение объема финансирования с оценкой его обоснованности, проверяются соответствие объемов финансирования паспорту муниципальной программы, изменение целевых показателей в связи с изменением объемов финансирования с оценкой их обоснованности; дается оценка финансовых последствий принимаемых изменений; делаются выводы и даются рекомендации.</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В содержательной части заключения, как правило, отражаются наиболее существенные проблемные вопросы, выявленные в ходе экспертизы в отношении следующих элементов и принципиальных решений проекта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обоснование необходимости разработки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основные цели и задачи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срок реализации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система (перечень) программных мероприятий;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механизм реализации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ресурсное обеспечение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оценка эффективности реализации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организация контроля за ходом реализации муниципальной программы.</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Обязательно в содержательной части приводятся данные об общем объеме финансирования, в том числе по годам, при рассмотрении проекта вновь принимаемой муниципальной программы, о сумме изменения объемов финансирования при рассмотрении проекта корректировки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3.5. При проведении повторной экспертизы во вводной части указывается причина их проведения (устранение замечаний, предоставление дополнительных документов, изменение первоначального проекта муниципальной программы, в т.ч. объемов финансирования). В содержательной части по итогам повторной экспертизы необходимо описать устраненные по рекомендации Контрольно-ревизионной комиссии нарушения и недостатки.</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3.6. При обнаружении в ходе проведения экспертизы коррупциогенных факторов в заключении по итогам экспертизы Контрольно-ревизионной комиссией должна быть отражена соответствующая информация.</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3.7. Все суждения и оценки, отраженные в заключении, должны подтверждаться ссылками на исследованные положения проекта муниципальной программы и (при необходимости) на действующее законодательство, положения нормативно-правовых актов муниципального образования «Демидовский район» Смоленской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3.8. В заключении по итогам экспертизы Контрольно-ревизионной комиссией не даются рекомендации по утверждению или отклонению представленного проекта. В случае наличия в проекте муниципальной программы нарушений они отмечаются в заключении с изложением сути нарушения и указанием реквизитов соответствующих нормативных правовых актов и конкретных их норм (статей, частей, пунктов). В заключении выражается мнение о необходимости рассмотрения разработчиком муниципальной программы замечаний и предложений, изложенных в заключении, внесения изменений в проект муниципальной программы, либо указывается информация об отсутствии замечаний и предложений по итогам экспертизы.</w:t>
      </w:r>
    </w:p>
    <w:p>
      <w:pPr>
        <w:pStyle w:val="Normal"/>
        <w:spacing w:lineRule="auto" w:line="240" w:before="0" w:after="0"/>
        <w:jc w:val="both"/>
        <w:rPr/>
      </w:pPr>
      <w:r>
        <w:rPr>
          <w:rFonts w:cs="Times New Roman" w:ascii="Times New Roman" w:hAnsi="Times New Roman"/>
          <w:sz w:val="28"/>
          <w:szCs w:val="28"/>
        </w:rPr>
        <w:t xml:space="preserve">3.9. Заключение по итогам экспертизы проекта муниципальной программы (проекта изменений в муниципальную программу) оформляется в двух экземплярах и подписывается председателем Контрольно-ревизионной комиссии или лицом, его замещающим. Заключение направляется с сопроводительным письмом заказчику программы или разработчику программы, от которого проект был получен КРК для проведения финансово-экономической экспертизы. </w:t>
      </w:r>
    </w:p>
    <w:p>
      <w:pPr>
        <w:pStyle w:val="Normal"/>
        <w:spacing w:lineRule="auto" w:line="240" w:before="0" w:after="0"/>
        <w:jc w:val="both"/>
        <w:rPr>
          <w:sz w:val="28"/>
          <w:szCs w:val="28"/>
        </w:rPr>
      </w:pPr>
      <w:r>
        <w:rPr>
          <w:rFonts w:cs="Times New Roman" w:ascii="Times New Roman" w:hAnsi="Times New Roman"/>
          <w:sz w:val="28"/>
          <w:szCs w:val="28"/>
        </w:rPr>
        <w:t>3.10. Информационное письмо со сведениями о результатах проведенной экспертизы может быть направлено председателю Демидовского районного Совета депутатов, Главе муниципального образования «Демидовский район» Смоленской области, по инициативе председателя КРК или по запросу указанных лиц.</w:t>
      </w:r>
    </w:p>
    <w:p>
      <w:pPr>
        <w:pStyle w:val="Normal"/>
        <w:spacing w:lineRule="auto" w:line="240" w:before="0" w:after="0"/>
        <w:jc w:val="both"/>
        <w:rPr/>
      </w:pPr>
      <w:r>
        <w:rPr/>
      </w:r>
    </w:p>
    <w:sectPr>
      <w:headerReference w:type="default" r:id="rId2"/>
      <w:type w:val="nextPage"/>
      <w:pgSz w:w="11906" w:h="16838"/>
      <w:pgMar w:left="1134" w:right="850" w:header="850" w:top="1416"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NewRomanPSMT">
    <w:charset w:val="cc"/>
    <w:family w:val="roman"/>
    <w:pitch w:val="variable"/>
  </w:font>
  <w:font w:name="TimesNewRomanPS-BoldMT">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instrText> PAGE </w:instrText>
    </w:r>
    <w:r>
      <w:fldChar w:fldCharType="separate"/>
    </w:r>
    <w:r>
      <w:t>8</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semiHidden/>
    <w:qFormat/>
    <w:rsid w:val="00dd4cc6"/>
    <w:rPr/>
  </w:style>
  <w:style w:type="character" w:styleId="Style15" w:customStyle="1">
    <w:name w:val="Нижний колонтитул Знак"/>
    <w:basedOn w:val="DefaultParagraphFont"/>
    <w:link w:val="a6"/>
    <w:uiPriority w:val="99"/>
    <w:semiHidden/>
    <w:qFormat/>
    <w:rsid w:val="00dd4cc6"/>
    <w:rPr/>
  </w:style>
  <w:style w:type="character" w:styleId="Style16" w:customStyle="1">
    <w:name w:val="Текст выноски Знак"/>
    <w:basedOn w:val="DefaultParagraphFont"/>
    <w:link w:val="a8"/>
    <w:uiPriority w:val="99"/>
    <w:semiHidden/>
    <w:qFormat/>
    <w:rsid w:val="007a5652"/>
    <w:rPr>
      <w:rFonts w:ascii="Tahoma" w:hAnsi="Tahoma" w:cs="Tahoma"/>
      <w:sz w:val="16"/>
      <w:szCs w:val="16"/>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ad4897"/>
    <w:pPr>
      <w:spacing w:before="0" w:after="200"/>
      <w:ind w:left="720" w:hanging="0"/>
      <w:contextualSpacing/>
    </w:pPr>
    <w:rPr/>
  </w:style>
  <w:style w:type="paragraph" w:styleId="Style22">
    <w:name w:val="Header"/>
    <w:basedOn w:val="Normal"/>
    <w:link w:val="a5"/>
    <w:uiPriority w:val="99"/>
    <w:semiHidden/>
    <w:unhideWhenUsed/>
    <w:rsid w:val="00dd4cc6"/>
    <w:pPr>
      <w:tabs>
        <w:tab w:val="center" w:pos="4677" w:leader="none"/>
        <w:tab w:val="right" w:pos="9355" w:leader="none"/>
      </w:tabs>
      <w:spacing w:lineRule="auto" w:line="240" w:before="0" w:after="0"/>
    </w:pPr>
    <w:rPr/>
  </w:style>
  <w:style w:type="paragraph" w:styleId="Style23">
    <w:name w:val="Footer"/>
    <w:basedOn w:val="Normal"/>
    <w:link w:val="a7"/>
    <w:uiPriority w:val="99"/>
    <w:semiHidden/>
    <w:unhideWhenUsed/>
    <w:rsid w:val="00dd4cc6"/>
    <w:pPr>
      <w:tabs>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7a565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LibreOffice/5.3.1.2$Windows_x86 LibreOffice_project/e80a0e0fd1875e1696614d24c32df0f95f03deb2</Application>
  <Pages>8</Pages>
  <Words>1587</Words>
  <Characters>13315</Characters>
  <CharactersWithSpaces>15223</CharactersWithSpaces>
  <Paragraphs>88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2019-04-23T11:58:00Z</dcterms:created>
  <dc:creator>UserHome</dc:creator>
  <dc:description/>
  <dc:language>ru-RU</dc:language>
  <cp:lastModifiedBy/>
  <cp:lastPrinted>2020-02-19T15:10:53Z</cp:lastPrinted>
  <dcterms:modified xsi:type="dcterms:W3CDTF">2020-06-08T12:13:01Z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